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16" w:rsidRDefault="00506BD3" w:rsidP="00506BD3">
      <w:pPr>
        <w:jc w:val="center"/>
        <w:rPr>
          <w:b/>
        </w:rPr>
      </w:pPr>
      <w:r w:rsidRPr="00506BD3">
        <w:rPr>
          <w:b/>
        </w:rPr>
        <w:t xml:space="preserve">ESQUEMA </w:t>
      </w:r>
      <w:r>
        <w:rPr>
          <w:b/>
        </w:rPr>
        <w:t xml:space="preserve">SEMANA </w:t>
      </w:r>
      <w:r w:rsidRPr="00506BD3">
        <w:rPr>
          <w:b/>
        </w:rPr>
        <w:t>1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169"/>
      </w:tblGrid>
      <w:tr w:rsidR="00BE09AF" w:rsidRPr="007F0F1C" w:rsidTr="00071A10">
        <w:tc>
          <w:tcPr>
            <w:tcW w:w="1809" w:type="dxa"/>
          </w:tcPr>
          <w:p w:rsidR="00BE09AF" w:rsidRPr="007F0F1C" w:rsidRDefault="00B85E6A" w:rsidP="00BE09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0F1C">
              <w:rPr>
                <w:rFonts w:ascii="Arial" w:hAnsi="Arial" w:cs="Arial"/>
                <w:sz w:val="20"/>
                <w:szCs w:val="20"/>
              </w:rPr>
              <w:t>Identidad</w:t>
            </w:r>
          </w:p>
        </w:tc>
        <w:tc>
          <w:tcPr>
            <w:tcW w:w="7169" w:type="dxa"/>
          </w:tcPr>
          <w:p w:rsidR="00BE09AF" w:rsidRPr="007F0F1C" w:rsidRDefault="00BE09AF" w:rsidP="00BE09AF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0F1C">
              <w:rPr>
                <w:rFonts w:ascii="Arial" w:hAnsi="Arial" w:cs="Arial"/>
                <w:sz w:val="20"/>
                <w:szCs w:val="20"/>
              </w:rPr>
              <w:t>Lo que los otro</w:t>
            </w:r>
            <w:r w:rsidR="003D2EFD">
              <w:rPr>
                <w:rFonts w:ascii="Arial" w:hAnsi="Arial" w:cs="Arial"/>
                <w:sz w:val="20"/>
                <w:szCs w:val="20"/>
              </w:rPr>
              <w:t>s nos señalan, dependiendo de é</w:t>
            </w:r>
            <w:r w:rsidRPr="007F0F1C">
              <w:rPr>
                <w:rFonts w:ascii="Arial" w:hAnsi="Arial" w:cs="Arial"/>
                <w:sz w:val="20"/>
                <w:szCs w:val="20"/>
              </w:rPr>
              <w:t>stos para nuestra sobrevivencia, en constante estado de subordinación.</w:t>
            </w:r>
          </w:p>
          <w:p w:rsidR="00BE09AF" w:rsidRPr="007F0F1C" w:rsidRDefault="00BE09AF" w:rsidP="00BE09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9AF" w:rsidRPr="007F0F1C" w:rsidTr="00071A10">
        <w:tc>
          <w:tcPr>
            <w:tcW w:w="1809" w:type="dxa"/>
          </w:tcPr>
          <w:p w:rsidR="00BE09AF" w:rsidRPr="007F0F1C" w:rsidRDefault="00B85E6A" w:rsidP="00BE09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0F1C">
              <w:rPr>
                <w:rFonts w:ascii="Arial" w:hAnsi="Arial" w:cs="Arial"/>
                <w:sz w:val="20"/>
                <w:szCs w:val="20"/>
              </w:rPr>
              <w:t>La violencia</w:t>
            </w:r>
          </w:p>
        </w:tc>
        <w:tc>
          <w:tcPr>
            <w:tcW w:w="7169" w:type="dxa"/>
          </w:tcPr>
          <w:p w:rsidR="00BE09AF" w:rsidRPr="007F0F1C" w:rsidRDefault="00BE09AF" w:rsidP="00BE09AF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0F1C">
              <w:rPr>
                <w:rFonts w:ascii="Arial" w:hAnsi="Arial" w:cs="Arial"/>
                <w:sz w:val="20"/>
                <w:szCs w:val="20"/>
              </w:rPr>
              <w:t>No puede ser entendida sin considerar cada situación, existiendo una violencia destructiva (repetición sin salida en el cuerpo- pensamiento- acción) o fundante (Que rompe la repetición y genera oportunidades)</w:t>
            </w:r>
          </w:p>
          <w:p w:rsidR="00BE09AF" w:rsidRPr="007F0F1C" w:rsidRDefault="00BE09AF" w:rsidP="00BE09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9AF" w:rsidRPr="007F0F1C" w:rsidTr="00071A10">
        <w:tc>
          <w:tcPr>
            <w:tcW w:w="1809" w:type="dxa"/>
          </w:tcPr>
          <w:p w:rsidR="00BE09AF" w:rsidRPr="007F0F1C" w:rsidRDefault="00B85E6A" w:rsidP="00BE09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0F1C">
              <w:rPr>
                <w:rFonts w:ascii="Arial" w:hAnsi="Arial" w:cs="Arial"/>
                <w:sz w:val="20"/>
                <w:szCs w:val="20"/>
              </w:rPr>
              <w:t>Violencia Sexual en la Infancia</w:t>
            </w:r>
          </w:p>
          <w:p w:rsidR="00BE09AF" w:rsidRPr="007F0F1C" w:rsidRDefault="00BE09AF" w:rsidP="00BE09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69" w:type="dxa"/>
          </w:tcPr>
          <w:p w:rsidR="00BE09AF" w:rsidRPr="007F0F1C" w:rsidRDefault="005F3EFA" w:rsidP="00B85E6A">
            <w:pPr>
              <w:pStyle w:val="Prrafodelista"/>
              <w:numPr>
                <w:ilvl w:val="0"/>
                <w:numId w:val="2"/>
              </w:numPr>
              <w:ind w:left="317" w:hanging="21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0F1C">
              <w:rPr>
                <w:rFonts w:ascii="Arial" w:hAnsi="Arial" w:cs="Arial"/>
                <w:sz w:val="20"/>
                <w:szCs w:val="20"/>
              </w:rPr>
              <w:t>Historia de cosificación de la infancia</w:t>
            </w:r>
          </w:p>
          <w:p w:rsidR="005F3EFA" w:rsidRPr="007F0F1C" w:rsidRDefault="005F3EFA" w:rsidP="00B85E6A">
            <w:pPr>
              <w:pStyle w:val="Prrafodelista"/>
              <w:numPr>
                <w:ilvl w:val="0"/>
                <w:numId w:val="2"/>
              </w:numPr>
              <w:ind w:left="317" w:hanging="21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0F1C">
              <w:rPr>
                <w:rFonts w:ascii="Arial" w:hAnsi="Arial" w:cs="Arial"/>
                <w:sz w:val="20"/>
                <w:szCs w:val="20"/>
              </w:rPr>
              <w:t xml:space="preserve">Hace 200 años se considera a los </w:t>
            </w:r>
            <w:proofErr w:type="spellStart"/>
            <w:r w:rsidRPr="007F0F1C">
              <w:rPr>
                <w:rFonts w:ascii="Arial" w:hAnsi="Arial" w:cs="Arial"/>
                <w:sz w:val="20"/>
                <w:szCs w:val="20"/>
              </w:rPr>
              <w:t>NNA</w:t>
            </w:r>
            <w:proofErr w:type="spellEnd"/>
            <w:r w:rsidRPr="007F0F1C">
              <w:rPr>
                <w:rFonts w:ascii="Arial" w:hAnsi="Arial" w:cs="Arial"/>
                <w:sz w:val="20"/>
                <w:szCs w:val="20"/>
              </w:rPr>
              <w:t xml:space="preserve"> como seres sujetos de derecho y protección</w:t>
            </w:r>
          </w:p>
          <w:p w:rsidR="005F3EFA" w:rsidRPr="007F0F1C" w:rsidRDefault="005F3EFA" w:rsidP="00B85E6A">
            <w:pPr>
              <w:pStyle w:val="Prrafodelista"/>
              <w:numPr>
                <w:ilvl w:val="0"/>
                <w:numId w:val="2"/>
              </w:numPr>
              <w:ind w:left="317" w:hanging="21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0F1C">
              <w:rPr>
                <w:rFonts w:ascii="Arial" w:hAnsi="Arial" w:cs="Arial"/>
                <w:sz w:val="20"/>
                <w:szCs w:val="20"/>
              </w:rPr>
              <w:t xml:space="preserve">Modelo Capitalista donde se enfatiza aún más la importancia de la </w:t>
            </w:r>
            <w:r w:rsidR="00A37836" w:rsidRPr="007F0F1C">
              <w:rPr>
                <w:rFonts w:ascii="Arial" w:hAnsi="Arial" w:cs="Arial"/>
                <w:sz w:val="20"/>
                <w:szCs w:val="20"/>
              </w:rPr>
              <w:t xml:space="preserve">comercialización de los </w:t>
            </w:r>
            <w:proofErr w:type="spellStart"/>
            <w:r w:rsidR="00A37836" w:rsidRPr="007F0F1C">
              <w:rPr>
                <w:rFonts w:ascii="Arial" w:hAnsi="Arial" w:cs="Arial"/>
                <w:sz w:val="20"/>
                <w:szCs w:val="20"/>
              </w:rPr>
              <w:t>NNA</w:t>
            </w:r>
            <w:proofErr w:type="spellEnd"/>
            <w:r w:rsidR="00A37836" w:rsidRPr="007F0F1C">
              <w:rPr>
                <w:rFonts w:ascii="Arial" w:hAnsi="Arial" w:cs="Arial"/>
                <w:sz w:val="20"/>
                <w:szCs w:val="20"/>
              </w:rPr>
              <w:t xml:space="preserve"> y su sexualidad, siendo la </w:t>
            </w:r>
            <w:r w:rsidR="000D1C5C" w:rsidRPr="007F0F1C">
              <w:rPr>
                <w:rFonts w:ascii="Arial" w:hAnsi="Arial" w:cs="Arial"/>
                <w:sz w:val="20"/>
                <w:szCs w:val="20"/>
              </w:rPr>
              <w:t>transacción</w:t>
            </w:r>
            <w:r w:rsidR="00A37836" w:rsidRPr="007F0F1C">
              <w:rPr>
                <w:rFonts w:ascii="Arial" w:hAnsi="Arial" w:cs="Arial"/>
                <w:sz w:val="20"/>
                <w:szCs w:val="20"/>
              </w:rPr>
              <w:t xml:space="preserve"> un elemento central.</w:t>
            </w:r>
          </w:p>
          <w:p w:rsidR="007F0F1C" w:rsidRPr="007F0F1C" w:rsidRDefault="007F0F1C" w:rsidP="007F0F1C">
            <w:pPr>
              <w:pStyle w:val="Prrafodelista"/>
              <w:ind w:left="31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9AF" w:rsidRPr="007F0F1C" w:rsidTr="00071A10">
        <w:tc>
          <w:tcPr>
            <w:tcW w:w="1809" w:type="dxa"/>
          </w:tcPr>
          <w:p w:rsidR="00BE09AF" w:rsidRPr="007F0F1C" w:rsidRDefault="00A37836" w:rsidP="00BE09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0F1C">
              <w:rPr>
                <w:rFonts w:ascii="Arial" w:hAnsi="Arial" w:cs="Arial"/>
                <w:sz w:val="20"/>
                <w:szCs w:val="20"/>
              </w:rPr>
              <w:t>ESCNNA</w:t>
            </w:r>
          </w:p>
        </w:tc>
        <w:tc>
          <w:tcPr>
            <w:tcW w:w="7169" w:type="dxa"/>
          </w:tcPr>
          <w:p w:rsidR="00BE09AF" w:rsidRPr="007F0F1C" w:rsidRDefault="00CB0E8D" w:rsidP="00A37836">
            <w:pPr>
              <w:pStyle w:val="Prrafodelista"/>
              <w:numPr>
                <w:ilvl w:val="0"/>
                <w:numId w:val="2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0F1C">
              <w:rPr>
                <w:rFonts w:ascii="Arial" w:hAnsi="Arial" w:cs="Arial"/>
                <w:sz w:val="20"/>
                <w:szCs w:val="20"/>
              </w:rPr>
              <w:t>Fenómeno global trasversal y se requiere actual local.</w:t>
            </w:r>
          </w:p>
          <w:p w:rsidR="000D1C5C" w:rsidRPr="007F0F1C" w:rsidRDefault="00B56893" w:rsidP="00A37836">
            <w:pPr>
              <w:pStyle w:val="Prrafodelista"/>
              <w:numPr>
                <w:ilvl w:val="0"/>
                <w:numId w:val="2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0F1C">
              <w:rPr>
                <w:rFonts w:ascii="Arial" w:hAnsi="Arial" w:cs="Arial"/>
                <w:sz w:val="20"/>
                <w:szCs w:val="20"/>
              </w:rPr>
              <w:t>Tipos: Comercio sexual infantil, trata o tráfico con fin de comercio sexual, turismo con fines de comercio sexual y producción de imágenes sexuales abusivas.</w:t>
            </w:r>
          </w:p>
          <w:p w:rsidR="00B56893" w:rsidRPr="007F0F1C" w:rsidRDefault="00B56893" w:rsidP="00A37836">
            <w:pPr>
              <w:pStyle w:val="Prrafodelista"/>
              <w:numPr>
                <w:ilvl w:val="0"/>
                <w:numId w:val="2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0F1C">
              <w:rPr>
                <w:rFonts w:ascii="Arial" w:hAnsi="Arial" w:cs="Arial"/>
                <w:sz w:val="20"/>
                <w:szCs w:val="20"/>
              </w:rPr>
              <w:t>Dimensión relacional: Cara a cara, a través de redes informales o formales, o a través de redes sociales en internet</w:t>
            </w:r>
            <w:r w:rsidR="00DF2EEA" w:rsidRPr="007F0F1C">
              <w:rPr>
                <w:rFonts w:ascii="Arial" w:hAnsi="Arial" w:cs="Arial"/>
                <w:sz w:val="20"/>
                <w:szCs w:val="20"/>
              </w:rPr>
              <w:t xml:space="preserve"> y entre pares (colegio y/o pandillas)</w:t>
            </w:r>
          </w:p>
          <w:p w:rsidR="00DF2EEA" w:rsidRDefault="00711654" w:rsidP="00711654">
            <w:pPr>
              <w:pStyle w:val="Prrafodelista"/>
              <w:numPr>
                <w:ilvl w:val="0"/>
                <w:numId w:val="2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0F1C">
              <w:rPr>
                <w:rFonts w:ascii="Arial" w:hAnsi="Arial" w:cs="Arial"/>
                <w:sz w:val="20"/>
                <w:szCs w:val="20"/>
              </w:rPr>
              <w:t>Género</w:t>
            </w:r>
            <w:r w:rsidR="00B56893" w:rsidRPr="007F0F1C">
              <w:rPr>
                <w:rFonts w:ascii="Arial" w:hAnsi="Arial" w:cs="Arial"/>
                <w:sz w:val="20"/>
                <w:szCs w:val="20"/>
              </w:rPr>
              <w:t>: mayor cantidad de víctimas son de sexo femenino y se relaciona con la lógica patriarcal que desvaloriza a priori el rol femenino.</w:t>
            </w:r>
          </w:p>
          <w:p w:rsidR="007F0F1C" w:rsidRPr="007F0F1C" w:rsidRDefault="007F0F1C" w:rsidP="007F0F1C">
            <w:pPr>
              <w:pStyle w:val="Prrafodelista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9AF" w:rsidRPr="007F0F1C" w:rsidTr="00071A10">
        <w:tc>
          <w:tcPr>
            <w:tcW w:w="1809" w:type="dxa"/>
          </w:tcPr>
          <w:p w:rsidR="00BE09AF" w:rsidRPr="007F0F1C" w:rsidRDefault="00711654" w:rsidP="00BE09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0F1C">
              <w:rPr>
                <w:rFonts w:ascii="Arial" w:hAnsi="Arial" w:cs="Arial"/>
                <w:sz w:val="20"/>
                <w:szCs w:val="20"/>
              </w:rPr>
              <w:t xml:space="preserve">Que distingue a ESCNNA de otros tipos de abuso sexual de </w:t>
            </w:r>
            <w:proofErr w:type="spellStart"/>
            <w:r w:rsidRPr="007F0F1C">
              <w:rPr>
                <w:rFonts w:ascii="Arial" w:hAnsi="Arial" w:cs="Arial"/>
                <w:sz w:val="20"/>
                <w:szCs w:val="20"/>
              </w:rPr>
              <w:t>NNA</w:t>
            </w:r>
            <w:proofErr w:type="spellEnd"/>
          </w:p>
        </w:tc>
        <w:tc>
          <w:tcPr>
            <w:tcW w:w="7169" w:type="dxa"/>
          </w:tcPr>
          <w:p w:rsidR="00BE09AF" w:rsidRPr="007F0F1C" w:rsidRDefault="00903E1F" w:rsidP="00711654">
            <w:pPr>
              <w:pStyle w:val="Prrafodelista"/>
              <w:numPr>
                <w:ilvl w:val="0"/>
                <w:numId w:val="2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0F1C">
              <w:rPr>
                <w:rFonts w:ascii="Arial" w:hAnsi="Arial" w:cs="Arial"/>
                <w:sz w:val="20"/>
                <w:szCs w:val="20"/>
              </w:rPr>
              <w:t>La existencia de Transacción o intercambio de algo a cambio del acto abusivo (bienes, servicios, dinero, cariño, protección)</w:t>
            </w:r>
          </w:p>
          <w:p w:rsidR="00903E1F" w:rsidRPr="007F0F1C" w:rsidRDefault="00772BAF" w:rsidP="00711654">
            <w:pPr>
              <w:pStyle w:val="Prrafodelista"/>
              <w:numPr>
                <w:ilvl w:val="0"/>
                <w:numId w:val="2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0F1C">
              <w:rPr>
                <w:rFonts w:ascii="Arial" w:hAnsi="Arial" w:cs="Arial"/>
                <w:sz w:val="20"/>
                <w:szCs w:val="20"/>
              </w:rPr>
              <w:t>No reconocimiento de las víctimas como tales por las “recompensas” involucradas</w:t>
            </w:r>
          </w:p>
          <w:p w:rsidR="00772BAF" w:rsidRDefault="00772BAF" w:rsidP="00711654">
            <w:pPr>
              <w:pStyle w:val="Prrafodelista"/>
              <w:numPr>
                <w:ilvl w:val="0"/>
                <w:numId w:val="2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0F1C">
              <w:rPr>
                <w:rFonts w:ascii="Arial" w:hAnsi="Arial" w:cs="Arial"/>
                <w:sz w:val="20"/>
                <w:szCs w:val="20"/>
              </w:rPr>
              <w:t>Explotación del desamparo u otros problemas de las víctimas</w:t>
            </w:r>
          </w:p>
          <w:p w:rsidR="00986FD4" w:rsidRPr="007F0F1C" w:rsidRDefault="00986FD4" w:rsidP="00986FD4">
            <w:pPr>
              <w:pStyle w:val="Prrafodelista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9AF" w:rsidRPr="007F0F1C" w:rsidTr="00071A10">
        <w:tc>
          <w:tcPr>
            <w:tcW w:w="1809" w:type="dxa"/>
          </w:tcPr>
          <w:p w:rsidR="00BE09AF" w:rsidRPr="007F0F1C" w:rsidRDefault="00797AE1" w:rsidP="00BE09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0F1C">
              <w:rPr>
                <w:rFonts w:ascii="Arial" w:hAnsi="Arial" w:cs="Arial"/>
                <w:sz w:val="20"/>
                <w:szCs w:val="20"/>
              </w:rPr>
              <w:t>Dificultades contextuales</w:t>
            </w:r>
          </w:p>
        </w:tc>
        <w:tc>
          <w:tcPr>
            <w:tcW w:w="7169" w:type="dxa"/>
          </w:tcPr>
          <w:p w:rsidR="00411DC1" w:rsidRPr="007F0F1C" w:rsidRDefault="00411DC1" w:rsidP="00797AE1">
            <w:pPr>
              <w:pStyle w:val="Prrafodelista"/>
              <w:numPr>
                <w:ilvl w:val="0"/>
                <w:numId w:val="2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0F1C">
              <w:rPr>
                <w:rFonts w:ascii="Arial" w:hAnsi="Arial" w:cs="Arial"/>
                <w:sz w:val="20"/>
                <w:szCs w:val="20"/>
              </w:rPr>
              <w:t>Lógica Patriarcal</w:t>
            </w:r>
          </w:p>
          <w:p w:rsidR="00411DC1" w:rsidRPr="007F0F1C" w:rsidRDefault="00411DC1" w:rsidP="00797AE1">
            <w:pPr>
              <w:pStyle w:val="Prrafodelista"/>
              <w:numPr>
                <w:ilvl w:val="0"/>
                <w:numId w:val="2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0F1C">
              <w:rPr>
                <w:rFonts w:ascii="Arial" w:hAnsi="Arial" w:cs="Arial"/>
                <w:sz w:val="20"/>
                <w:szCs w:val="20"/>
              </w:rPr>
              <w:t>Cosificación del ser humano</w:t>
            </w:r>
          </w:p>
          <w:p w:rsidR="00411DC1" w:rsidRPr="007F0F1C" w:rsidRDefault="00411DC1" w:rsidP="00797AE1">
            <w:pPr>
              <w:pStyle w:val="Prrafodelista"/>
              <w:numPr>
                <w:ilvl w:val="0"/>
                <w:numId w:val="2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0F1C">
              <w:rPr>
                <w:rFonts w:ascii="Arial" w:hAnsi="Arial" w:cs="Arial"/>
                <w:sz w:val="20"/>
                <w:szCs w:val="20"/>
              </w:rPr>
              <w:t>Vulnerabilidad de la infancia quien necesita de otros para sobrevivir</w:t>
            </w:r>
          </w:p>
          <w:p w:rsidR="00BE09AF" w:rsidRPr="007F0F1C" w:rsidRDefault="00411DC1" w:rsidP="00797AE1">
            <w:pPr>
              <w:pStyle w:val="Prrafodelista"/>
              <w:numPr>
                <w:ilvl w:val="0"/>
                <w:numId w:val="2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0F1C">
              <w:rPr>
                <w:rFonts w:ascii="Arial" w:hAnsi="Arial" w:cs="Arial"/>
                <w:sz w:val="20"/>
                <w:szCs w:val="20"/>
              </w:rPr>
              <w:t xml:space="preserve">Demanda existente de fenómenos de explotación y abuso a </w:t>
            </w:r>
            <w:proofErr w:type="spellStart"/>
            <w:r w:rsidRPr="007F0F1C">
              <w:rPr>
                <w:rFonts w:ascii="Arial" w:hAnsi="Arial" w:cs="Arial"/>
                <w:sz w:val="20"/>
                <w:szCs w:val="20"/>
              </w:rPr>
              <w:t>NNA</w:t>
            </w:r>
            <w:proofErr w:type="spellEnd"/>
          </w:p>
          <w:p w:rsidR="00411DC1" w:rsidRPr="007F0F1C" w:rsidRDefault="00EC7804" w:rsidP="00797AE1">
            <w:pPr>
              <w:pStyle w:val="Prrafodelista"/>
              <w:numPr>
                <w:ilvl w:val="0"/>
                <w:numId w:val="2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0F1C">
              <w:rPr>
                <w:rFonts w:ascii="Arial" w:hAnsi="Arial" w:cs="Arial"/>
                <w:sz w:val="20"/>
                <w:szCs w:val="20"/>
              </w:rPr>
              <w:t>Desconocimiento del fenómeno</w:t>
            </w:r>
          </w:p>
          <w:p w:rsidR="00EC7804" w:rsidRPr="007F0F1C" w:rsidRDefault="00EC7804" w:rsidP="00797AE1">
            <w:pPr>
              <w:pStyle w:val="Prrafodelista"/>
              <w:numPr>
                <w:ilvl w:val="0"/>
                <w:numId w:val="2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0F1C">
              <w:rPr>
                <w:rFonts w:ascii="Arial" w:hAnsi="Arial" w:cs="Arial"/>
                <w:sz w:val="20"/>
                <w:szCs w:val="20"/>
              </w:rPr>
              <w:t>Uso incorrecto de conceptos que llevan a responsabilizar a las víctimas</w:t>
            </w:r>
          </w:p>
          <w:p w:rsidR="00EC7804" w:rsidRPr="007F0F1C" w:rsidRDefault="00EC7804" w:rsidP="00797AE1">
            <w:pPr>
              <w:pStyle w:val="Prrafodelista"/>
              <w:numPr>
                <w:ilvl w:val="0"/>
                <w:numId w:val="2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0F1C">
              <w:rPr>
                <w:rFonts w:ascii="Arial" w:hAnsi="Arial" w:cs="Arial"/>
                <w:sz w:val="20"/>
                <w:szCs w:val="20"/>
              </w:rPr>
              <w:t>Cifras negras en la prevalencia</w:t>
            </w:r>
          </w:p>
          <w:p w:rsidR="00411DC1" w:rsidRDefault="00EC7804" w:rsidP="00EC7804">
            <w:pPr>
              <w:pStyle w:val="Prrafodelista"/>
              <w:numPr>
                <w:ilvl w:val="0"/>
                <w:numId w:val="2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0F1C">
              <w:rPr>
                <w:rFonts w:ascii="Arial" w:hAnsi="Arial" w:cs="Arial"/>
                <w:sz w:val="20"/>
                <w:szCs w:val="20"/>
              </w:rPr>
              <w:t xml:space="preserve">Desconocimiento de los </w:t>
            </w:r>
            <w:proofErr w:type="spellStart"/>
            <w:r w:rsidRPr="007F0F1C">
              <w:rPr>
                <w:rFonts w:ascii="Arial" w:hAnsi="Arial" w:cs="Arial"/>
                <w:sz w:val="20"/>
                <w:szCs w:val="20"/>
              </w:rPr>
              <w:t>NNA</w:t>
            </w:r>
            <w:proofErr w:type="spellEnd"/>
            <w:r w:rsidRPr="007F0F1C">
              <w:rPr>
                <w:rFonts w:ascii="Arial" w:hAnsi="Arial" w:cs="Arial"/>
                <w:sz w:val="20"/>
                <w:szCs w:val="20"/>
              </w:rPr>
              <w:t xml:space="preserve"> sobre sus opciones de consentimiento sexual</w:t>
            </w:r>
          </w:p>
          <w:p w:rsidR="007F0F1C" w:rsidRPr="007F0F1C" w:rsidRDefault="007F0F1C" w:rsidP="007F0F1C">
            <w:pPr>
              <w:pStyle w:val="Prrafodelista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804" w:rsidRPr="007F0F1C" w:rsidTr="00071A10">
        <w:tc>
          <w:tcPr>
            <w:tcW w:w="1809" w:type="dxa"/>
          </w:tcPr>
          <w:p w:rsidR="00EC7804" w:rsidRPr="007F0F1C" w:rsidRDefault="000E2AC0" w:rsidP="00BE09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0F1C">
              <w:rPr>
                <w:rFonts w:ascii="Arial" w:hAnsi="Arial" w:cs="Arial"/>
                <w:sz w:val="20"/>
                <w:szCs w:val="20"/>
              </w:rPr>
              <w:t>Intervención considerando toda la información de que se dispone</w:t>
            </w:r>
            <w:r w:rsidR="00EC7804" w:rsidRPr="007F0F1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69" w:type="dxa"/>
          </w:tcPr>
          <w:p w:rsidR="00EC7804" w:rsidRPr="007F0F1C" w:rsidRDefault="000E2AC0" w:rsidP="00797AE1">
            <w:pPr>
              <w:pStyle w:val="Prrafodelista"/>
              <w:numPr>
                <w:ilvl w:val="0"/>
                <w:numId w:val="2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0F1C">
              <w:rPr>
                <w:rFonts w:ascii="Arial" w:hAnsi="Arial" w:cs="Arial"/>
                <w:sz w:val="20"/>
                <w:szCs w:val="20"/>
              </w:rPr>
              <w:t>Prevención</w:t>
            </w:r>
          </w:p>
          <w:p w:rsidR="000E2AC0" w:rsidRPr="007F0F1C" w:rsidRDefault="000E2AC0" w:rsidP="00797AE1">
            <w:pPr>
              <w:pStyle w:val="Prrafodelista"/>
              <w:numPr>
                <w:ilvl w:val="0"/>
                <w:numId w:val="2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0F1C">
              <w:rPr>
                <w:rFonts w:ascii="Arial" w:hAnsi="Arial" w:cs="Arial"/>
                <w:sz w:val="20"/>
                <w:szCs w:val="20"/>
              </w:rPr>
              <w:t>Protección</w:t>
            </w:r>
          </w:p>
          <w:p w:rsidR="000E2AC0" w:rsidRDefault="000E2AC0" w:rsidP="00797AE1">
            <w:pPr>
              <w:pStyle w:val="Prrafodelista"/>
              <w:numPr>
                <w:ilvl w:val="0"/>
                <w:numId w:val="2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0F1C">
              <w:rPr>
                <w:rFonts w:ascii="Arial" w:hAnsi="Arial" w:cs="Arial"/>
                <w:sz w:val="20"/>
                <w:szCs w:val="20"/>
              </w:rPr>
              <w:t>Procesamiento o intervención</w:t>
            </w:r>
          </w:p>
          <w:p w:rsidR="007F0F1C" w:rsidRDefault="007F0F1C" w:rsidP="007F0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0F1C" w:rsidRDefault="007F0F1C" w:rsidP="007F0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0F1C" w:rsidRDefault="007F0F1C" w:rsidP="007F0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0F1C" w:rsidRPr="007F0F1C" w:rsidRDefault="007F0F1C" w:rsidP="007F0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AC0" w:rsidRPr="007F0F1C" w:rsidTr="00071A10">
        <w:tc>
          <w:tcPr>
            <w:tcW w:w="1809" w:type="dxa"/>
          </w:tcPr>
          <w:p w:rsidR="000E2AC0" w:rsidRPr="007F0F1C" w:rsidRDefault="000E2AC0" w:rsidP="00BE09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0F1C">
              <w:rPr>
                <w:rFonts w:ascii="Arial" w:hAnsi="Arial" w:cs="Arial"/>
                <w:sz w:val="20"/>
                <w:szCs w:val="20"/>
              </w:rPr>
              <w:t>Diferencia con la Trata de personas</w:t>
            </w:r>
          </w:p>
        </w:tc>
        <w:tc>
          <w:tcPr>
            <w:tcW w:w="7169" w:type="dxa"/>
          </w:tcPr>
          <w:p w:rsidR="000E2AC0" w:rsidRPr="007F0F1C" w:rsidRDefault="00343C01" w:rsidP="00797AE1">
            <w:pPr>
              <w:pStyle w:val="Prrafodelista"/>
              <w:numPr>
                <w:ilvl w:val="0"/>
                <w:numId w:val="2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0F1C">
              <w:rPr>
                <w:rFonts w:ascii="Arial" w:hAnsi="Arial" w:cs="Arial"/>
                <w:sz w:val="20"/>
                <w:szCs w:val="20"/>
              </w:rPr>
              <w:t>Pérdida de control sobre la actividad y condiciones de la actividad que realiza, así como de la libertad de movimiento.</w:t>
            </w:r>
          </w:p>
          <w:p w:rsidR="00343C01" w:rsidRPr="007F0F1C" w:rsidRDefault="00343C01" w:rsidP="00797AE1">
            <w:pPr>
              <w:pStyle w:val="Prrafodelista"/>
              <w:numPr>
                <w:ilvl w:val="0"/>
                <w:numId w:val="2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0F1C">
              <w:rPr>
                <w:rFonts w:ascii="Arial" w:hAnsi="Arial" w:cs="Arial"/>
                <w:sz w:val="20"/>
                <w:szCs w:val="20"/>
              </w:rPr>
              <w:t>Pérdida de la voluntad (Deuda con el tratante imposible de pagar)</w:t>
            </w:r>
          </w:p>
          <w:p w:rsidR="00343C01" w:rsidRPr="007F0F1C" w:rsidRDefault="00343C01" w:rsidP="00797AE1">
            <w:pPr>
              <w:pStyle w:val="Prrafodelista"/>
              <w:numPr>
                <w:ilvl w:val="0"/>
                <w:numId w:val="2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0F1C">
              <w:rPr>
                <w:rFonts w:ascii="Arial" w:hAnsi="Arial" w:cs="Arial"/>
                <w:sz w:val="20"/>
                <w:szCs w:val="20"/>
              </w:rPr>
              <w:t>Separación de su ambiente habitual</w:t>
            </w:r>
          </w:p>
          <w:p w:rsidR="00343C01" w:rsidRPr="007F0F1C" w:rsidRDefault="00343C01" w:rsidP="00797AE1">
            <w:pPr>
              <w:pStyle w:val="Prrafodelista"/>
              <w:numPr>
                <w:ilvl w:val="0"/>
                <w:numId w:val="2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0F1C">
              <w:rPr>
                <w:rFonts w:ascii="Arial" w:hAnsi="Arial" w:cs="Arial"/>
                <w:sz w:val="20"/>
                <w:szCs w:val="20"/>
              </w:rPr>
              <w:t>Beneficio económico que persigue el tratante</w:t>
            </w:r>
          </w:p>
        </w:tc>
      </w:tr>
    </w:tbl>
    <w:p w:rsidR="007F0F1C" w:rsidRDefault="007F0F1C" w:rsidP="00071A10">
      <w:pPr>
        <w:jc w:val="center"/>
        <w:rPr>
          <w:b/>
        </w:rPr>
      </w:pPr>
    </w:p>
    <w:p w:rsidR="00BE09AF" w:rsidRPr="00986FD4" w:rsidRDefault="00071A10" w:rsidP="00071A10">
      <w:pPr>
        <w:jc w:val="center"/>
        <w:rPr>
          <w:rFonts w:ascii="Arial" w:hAnsi="Arial" w:cs="Arial"/>
          <w:b/>
          <w:sz w:val="20"/>
          <w:szCs w:val="20"/>
        </w:rPr>
      </w:pPr>
      <w:r w:rsidRPr="00986FD4">
        <w:rPr>
          <w:rFonts w:ascii="Arial" w:hAnsi="Arial" w:cs="Arial"/>
          <w:b/>
          <w:sz w:val="20"/>
          <w:szCs w:val="20"/>
        </w:rPr>
        <w:lastRenderedPageBreak/>
        <w:t>REFLEXIONES</w:t>
      </w:r>
    </w:p>
    <w:p w:rsidR="00986FD4" w:rsidRDefault="00986FD4" w:rsidP="00986FD4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es-CL"/>
        </w:rPr>
      </w:pPr>
      <w:r w:rsidRPr="00986FD4">
        <w:rPr>
          <w:rFonts w:ascii="Arial" w:eastAsia="Times New Roman" w:hAnsi="Arial" w:cs="Arial"/>
          <w:color w:val="373737"/>
          <w:sz w:val="20"/>
          <w:szCs w:val="20"/>
          <w:lang w:eastAsia="es-CL"/>
        </w:rPr>
        <w:t>¿Cuáles son los elementos centrales que considera el fenómeno de la ESCNNA?</w:t>
      </w:r>
    </w:p>
    <w:p w:rsidR="00986FD4" w:rsidRDefault="00986FD4" w:rsidP="00986FD4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86FD4" w:rsidRDefault="00986FD4" w:rsidP="00986FD4">
      <w:pPr>
        <w:ind w:left="360"/>
        <w:jc w:val="both"/>
        <w:rPr>
          <w:rFonts w:ascii="Arial" w:hAnsi="Arial" w:cs="Arial"/>
          <w:sz w:val="20"/>
          <w:szCs w:val="20"/>
        </w:rPr>
      </w:pPr>
      <w:r w:rsidRPr="00986FD4">
        <w:rPr>
          <w:rFonts w:ascii="Arial" w:hAnsi="Arial" w:cs="Arial"/>
          <w:sz w:val="20"/>
          <w:szCs w:val="20"/>
        </w:rPr>
        <w:t>L</w:t>
      </w:r>
      <w:r w:rsidR="00346AD6">
        <w:rPr>
          <w:rFonts w:ascii="Arial" w:hAnsi="Arial" w:cs="Arial"/>
          <w:sz w:val="20"/>
          <w:szCs w:val="20"/>
        </w:rPr>
        <w:t>o que distingue al fenómeno de ESCNNA de otros tipos de abuso sexual de niñas, niños y adolescentes, está caracterizado por la existencia de una t</w:t>
      </w:r>
      <w:r w:rsidRPr="00986FD4">
        <w:rPr>
          <w:rFonts w:ascii="Arial" w:hAnsi="Arial" w:cs="Arial"/>
          <w:sz w:val="20"/>
          <w:szCs w:val="20"/>
        </w:rPr>
        <w:t>ransacción o intercambio de algo a cambio del acto abusivo</w:t>
      </w:r>
      <w:r w:rsidR="00346AD6">
        <w:rPr>
          <w:rFonts w:ascii="Arial" w:hAnsi="Arial" w:cs="Arial"/>
          <w:sz w:val="20"/>
          <w:szCs w:val="20"/>
        </w:rPr>
        <w:t xml:space="preserve">, los que pueden ser </w:t>
      </w:r>
      <w:r w:rsidR="00E105B8">
        <w:rPr>
          <w:rFonts w:ascii="Arial" w:hAnsi="Arial" w:cs="Arial"/>
          <w:sz w:val="20"/>
          <w:szCs w:val="20"/>
        </w:rPr>
        <w:t>relacionados a la protección de la víctima, lugar donde pernoctar, comida, otros bienes o dinero, todos los que deben ser considerados en base a la vulnerabilidad de las víctimas y la relevancia que se les da a éstos objetos o bienes intercambiados</w:t>
      </w:r>
      <w:r w:rsidR="004B248C">
        <w:rPr>
          <w:rFonts w:ascii="Arial" w:hAnsi="Arial" w:cs="Arial"/>
          <w:sz w:val="20"/>
          <w:szCs w:val="20"/>
        </w:rPr>
        <w:t xml:space="preserve"> de forma particular</w:t>
      </w:r>
      <w:r w:rsidR="00E105B8">
        <w:rPr>
          <w:rFonts w:ascii="Arial" w:hAnsi="Arial" w:cs="Arial"/>
          <w:sz w:val="20"/>
          <w:szCs w:val="20"/>
        </w:rPr>
        <w:t>.</w:t>
      </w:r>
    </w:p>
    <w:p w:rsidR="00986FD4" w:rsidRDefault="00E105B8" w:rsidP="00891169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Además de lo anterior, se plantea que las víctimas de ESCNNA no se reconocen como tales, y en este punto se comprende</w:t>
      </w:r>
      <w:r w:rsidR="00891169">
        <w:rPr>
          <w:rFonts w:ascii="Arial" w:hAnsi="Arial" w:cs="Arial"/>
          <w:sz w:val="20"/>
          <w:szCs w:val="20"/>
        </w:rPr>
        <w:t xml:space="preserve"> por el intercambio que señalo antes, por las</w:t>
      </w:r>
      <w:r w:rsidR="00986FD4" w:rsidRPr="00986FD4">
        <w:rPr>
          <w:rFonts w:ascii="Arial" w:hAnsi="Arial" w:cs="Arial"/>
          <w:sz w:val="20"/>
          <w:szCs w:val="20"/>
        </w:rPr>
        <w:t xml:space="preserve"> “recompensas” involucradas</w:t>
      </w:r>
      <w:r w:rsidR="00891169">
        <w:rPr>
          <w:rFonts w:ascii="Arial" w:hAnsi="Arial" w:cs="Arial"/>
          <w:sz w:val="20"/>
          <w:szCs w:val="20"/>
        </w:rPr>
        <w:t xml:space="preserve"> y la sensación de haber participado en estas acciones abusivas, sumado a los conceptos e ideas que provienen de la sociedad y sus características, basadas en </w:t>
      </w:r>
      <w:r w:rsidR="00A50143">
        <w:rPr>
          <w:rFonts w:ascii="Arial" w:hAnsi="Arial" w:cs="Arial"/>
          <w:sz w:val="20"/>
          <w:szCs w:val="20"/>
        </w:rPr>
        <w:t xml:space="preserve">la cosificación de los seres humanos, su valor como objetos de transacción o que producen bienes económicos para unos pocos, lo que en lo que respecta a la </w:t>
      </w:r>
      <w:r w:rsidR="004B248C">
        <w:rPr>
          <w:rFonts w:ascii="Arial" w:hAnsi="Arial" w:cs="Arial"/>
          <w:sz w:val="20"/>
          <w:szCs w:val="20"/>
        </w:rPr>
        <w:t>niñez,</w:t>
      </w:r>
      <w:r w:rsidR="00A50143">
        <w:rPr>
          <w:rFonts w:ascii="Arial" w:hAnsi="Arial" w:cs="Arial"/>
          <w:sz w:val="20"/>
          <w:szCs w:val="20"/>
        </w:rPr>
        <w:t xml:space="preserve"> es más patente aún. En este último punto, rescato desde lo revisado, la idea de que la visión del </w:t>
      </w:r>
      <w:proofErr w:type="spellStart"/>
      <w:r w:rsidR="00A50143">
        <w:rPr>
          <w:rFonts w:ascii="Arial" w:hAnsi="Arial" w:cs="Arial"/>
          <w:sz w:val="20"/>
          <w:szCs w:val="20"/>
        </w:rPr>
        <w:t>NNA</w:t>
      </w:r>
      <w:proofErr w:type="spellEnd"/>
      <w:r w:rsidR="00A50143">
        <w:rPr>
          <w:rFonts w:ascii="Arial" w:hAnsi="Arial" w:cs="Arial"/>
          <w:sz w:val="20"/>
          <w:szCs w:val="20"/>
        </w:rPr>
        <w:t xml:space="preserve"> como un sujeto de derecho y protección es reciente, y qu</w:t>
      </w:r>
      <w:r w:rsidR="008B2E5E">
        <w:rPr>
          <w:rFonts w:ascii="Arial" w:hAnsi="Arial" w:cs="Arial"/>
          <w:sz w:val="20"/>
          <w:szCs w:val="20"/>
        </w:rPr>
        <w:t xml:space="preserve">e arrastra una visión como objeto </w:t>
      </w:r>
      <w:r w:rsidR="004B248C">
        <w:rPr>
          <w:rFonts w:ascii="Arial" w:hAnsi="Arial" w:cs="Arial"/>
          <w:sz w:val="20"/>
          <w:szCs w:val="20"/>
        </w:rPr>
        <w:t xml:space="preserve">explotable </w:t>
      </w:r>
      <w:r w:rsidR="008B2E5E">
        <w:rPr>
          <w:rFonts w:ascii="Arial" w:hAnsi="Arial" w:cs="Arial"/>
          <w:sz w:val="20"/>
          <w:szCs w:val="20"/>
        </w:rPr>
        <w:t xml:space="preserve">de larga data en nuestra </w:t>
      </w:r>
      <w:r w:rsidR="0019798D">
        <w:rPr>
          <w:rFonts w:ascii="Arial" w:hAnsi="Arial" w:cs="Arial"/>
          <w:sz w:val="20"/>
          <w:szCs w:val="20"/>
        </w:rPr>
        <w:t>historia</w:t>
      </w:r>
      <w:r w:rsidR="008B2E5E">
        <w:rPr>
          <w:rFonts w:ascii="Arial" w:hAnsi="Arial" w:cs="Arial"/>
          <w:sz w:val="20"/>
          <w:szCs w:val="20"/>
        </w:rPr>
        <w:t>.</w:t>
      </w:r>
    </w:p>
    <w:p w:rsidR="00986FD4" w:rsidRPr="00986FD4" w:rsidRDefault="0019798D" w:rsidP="0019798D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Relacionado </w:t>
      </w:r>
      <w:r w:rsidR="008C4FFB">
        <w:rPr>
          <w:rFonts w:ascii="Arial" w:hAnsi="Arial" w:cs="Arial"/>
          <w:sz w:val="20"/>
          <w:szCs w:val="20"/>
        </w:rPr>
        <w:t>también</w:t>
      </w:r>
      <w:r>
        <w:rPr>
          <w:rFonts w:ascii="Arial" w:hAnsi="Arial" w:cs="Arial"/>
          <w:sz w:val="20"/>
          <w:szCs w:val="20"/>
        </w:rPr>
        <w:t xml:space="preserve"> con las dos ideas anteriores, existe un tercer elemento distintivo, que tiene que ver con la e</w:t>
      </w:r>
      <w:r w:rsidR="00986FD4" w:rsidRPr="00986FD4">
        <w:rPr>
          <w:rFonts w:ascii="Arial" w:hAnsi="Arial" w:cs="Arial"/>
          <w:sz w:val="20"/>
          <w:szCs w:val="20"/>
        </w:rPr>
        <w:t xml:space="preserve">xplotación del desamparo u otros problemas de </w:t>
      </w:r>
      <w:r w:rsidR="008C4FFB">
        <w:rPr>
          <w:rFonts w:ascii="Arial" w:hAnsi="Arial" w:cs="Arial"/>
          <w:sz w:val="20"/>
          <w:szCs w:val="20"/>
        </w:rPr>
        <w:t xml:space="preserve">los </w:t>
      </w:r>
      <w:proofErr w:type="spellStart"/>
      <w:r w:rsidR="008C4FFB">
        <w:rPr>
          <w:rFonts w:ascii="Arial" w:hAnsi="Arial" w:cs="Arial"/>
          <w:sz w:val="20"/>
          <w:szCs w:val="20"/>
        </w:rPr>
        <w:t>NNA</w:t>
      </w:r>
      <w:proofErr w:type="spellEnd"/>
      <w:r>
        <w:rPr>
          <w:rFonts w:ascii="Arial" w:hAnsi="Arial" w:cs="Arial"/>
          <w:sz w:val="20"/>
          <w:szCs w:val="20"/>
        </w:rPr>
        <w:t>, los que serían detectados por los perpetradores a fin de utilizarlos como estrategias para lograr cometer este tipo de delitos.</w:t>
      </w:r>
    </w:p>
    <w:p w:rsidR="00986FD4" w:rsidRPr="00986FD4" w:rsidRDefault="00986FD4" w:rsidP="00986FD4">
      <w:p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es-CL"/>
        </w:rPr>
      </w:pPr>
    </w:p>
    <w:p w:rsidR="00986FD4" w:rsidRDefault="00986FD4" w:rsidP="00986FD4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es-CL"/>
        </w:rPr>
      </w:pPr>
      <w:r w:rsidRPr="00986FD4">
        <w:rPr>
          <w:rFonts w:ascii="Arial" w:eastAsia="Times New Roman" w:hAnsi="Arial" w:cs="Arial"/>
          <w:color w:val="373737"/>
          <w:sz w:val="20"/>
          <w:szCs w:val="20"/>
          <w:lang w:eastAsia="es-CL"/>
        </w:rPr>
        <w:t>¿Cómo se presenta las ESCNNA en su contexto próximo (país, región, ciudad)?</w:t>
      </w:r>
    </w:p>
    <w:p w:rsidR="008D5BE6" w:rsidRDefault="008D5BE6" w:rsidP="008D5BE6">
      <w:p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es-CL"/>
        </w:rPr>
      </w:pPr>
    </w:p>
    <w:p w:rsidR="008D5BE6" w:rsidRDefault="008D5BE6" w:rsidP="00D24C34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CL"/>
        </w:rPr>
      </w:pPr>
      <w:r w:rsidRPr="00D24C34">
        <w:rPr>
          <w:rFonts w:ascii="Arial" w:eastAsia="Times New Roman" w:hAnsi="Arial" w:cs="Arial"/>
          <w:sz w:val="20"/>
          <w:szCs w:val="20"/>
          <w:lang w:eastAsia="es-CL"/>
        </w:rPr>
        <w:t xml:space="preserve">Desde mi experiencia (La cual no es mucha), en general existe una desinformación al respecto. En los últimos años, los medios de comunicación han dado a conocer algunos casos que por sus características resultan “sabrosas” de vender. En este caso Chile, que se caracteriza por su desigualdad educacional y económica, su visión patriarcal y </w:t>
      </w:r>
      <w:r w:rsidR="00D24C34" w:rsidRPr="00D24C34">
        <w:rPr>
          <w:rFonts w:ascii="Arial" w:eastAsia="Times New Roman" w:hAnsi="Arial" w:cs="Arial"/>
          <w:sz w:val="20"/>
          <w:szCs w:val="20"/>
          <w:lang w:eastAsia="es-CL"/>
        </w:rPr>
        <w:t xml:space="preserve">que adhiere al modelo económico </w:t>
      </w:r>
      <w:r w:rsidR="00C754E3">
        <w:rPr>
          <w:rFonts w:ascii="Arial" w:eastAsia="Times New Roman" w:hAnsi="Arial" w:cs="Arial"/>
          <w:sz w:val="20"/>
          <w:szCs w:val="20"/>
          <w:lang w:eastAsia="es-CL"/>
        </w:rPr>
        <w:t xml:space="preserve">Capitalista, </w:t>
      </w:r>
      <w:r w:rsidR="00335422">
        <w:rPr>
          <w:rFonts w:ascii="Arial" w:eastAsia="Times New Roman" w:hAnsi="Arial" w:cs="Arial"/>
          <w:sz w:val="20"/>
          <w:szCs w:val="20"/>
          <w:lang w:eastAsia="es-CL"/>
        </w:rPr>
        <w:t xml:space="preserve">reconoce este fenómeno a pesar de que a nivel </w:t>
      </w:r>
      <w:r w:rsidR="00A30F06">
        <w:rPr>
          <w:rFonts w:ascii="Arial" w:eastAsia="Times New Roman" w:hAnsi="Arial" w:cs="Arial"/>
          <w:sz w:val="20"/>
          <w:szCs w:val="20"/>
          <w:lang w:eastAsia="es-CL"/>
        </w:rPr>
        <w:t>legislativo</w:t>
      </w:r>
      <w:r w:rsidR="00335422">
        <w:rPr>
          <w:rFonts w:ascii="Arial" w:eastAsia="Times New Roman" w:hAnsi="Arial" w:cs="Arial"/>
          <w:sz w:val="20"/>
          <w:szCs w:val="20"/>
          <w:lang w:eastAsia="es-CL"/>
        </w:rPr>
        <w:t xml:space="preserve"> no se encuentra claramente diferenciado. </w:t>
      </w:r>
      <w:r w:rsidR="001529F0">
        <w:rPr>
          <w:rFonts w:ascii="Arial" w:eastAsia="Times New Roman" w:hAnsi="Arial" w:cs="Arial"/>
          <w:sz w:val="20"/>
          <w:szCs w:val="20"/>
          <w:lang w:eastAsia="es-CL"/>
        </w:rPr>
        <w:t>La ESCNNA en general, desde mi experiencia personal, se relaciona con la agrupación de jóvenes vulnerables, quienes serían contactados por grupos de adultos que los explotan sexualmente</w:t>
      </w:r>
      <w:r w:rsidR="00A30F06">
        <w:rPr>
          <w:rFonts w:ascii="Arial" w:eastAsia="Times New Roman" w:hAnsi="Arial" w:cs="Arial"/>
          <w:sz w:val="20"/>
          <w:szCs w:val="20"/>
          <w:lang w:eastAsia="es-CL"/>
        </w:rPr>
        <w:t>, así como también en contextos de crimen organizado.</w:t>
      </w:r>
    </w:p>
    <w:p w:rsidR="00A30F06" w:rsidRPr="00986FD4" w:rsidRDefault="00A30F06" w:rsidP="00D24C34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CL"/>
        </w:rPr>
      </w:pPr>
    </w:p>
    <w:p w:rsidR="00986FD4" w:rsidRDefault="00986FD4" w:rsidP="00986FD4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es-CL"/>
        </w:rPr>
      </w:pPr>
      <w:r w:rsidRPr="00986FD4">
        <w:rPr>
          <w:rFonts w:ascii="Arial" w:eastAsia="Times New Roman" w:hAnsi="Arial" w:cs="Arial"/>
          <w:color w:val="373737"/>
          <w:sz w:val="20"/>
          <w:szCs w:val="20"/>
          <w:lang w:eastAsia="es-CL"/>
        </w:rPr>
        <w:t>¿Qué preguntas le surgen en esta semana en función de lo presentado?</w:t>
      </w:r>
    </w:p>
    <w:p w:rsidR="00A30F06" w:rsidRDefault="00A30F06" w:rsidP="00A30F06">
      <w:p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373737"/>
          <w:sz w:val="20"/>
          <w:szCs w:val="20"/>
          <w:lang w:eastAsia="es-CL"/>
        </w:rPr>
      </w:pPr>
    </w:p>
    <w:p w:rsidR="00A30F06" w:rsidRDefault="00D36C57" w:rsidP="00D36C57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CL"/>
        </w:rPr>
      </w:pPr>
      <w:r>
        <w:rPr>
          <w:rFonts w:ascii="Arial" w:eastAsia="Times New Roman" w:hAnsi="Arial" w:cs="Arial"/>
          <w:sz w:val="20"/>
          <w:szCs w:val="20"/>
          <w:lang w:eastAsia="es-CL"/>
        </w:rPr>
        <w:t>Me surge una</w:t>
      </w:r>
      <w:r w:rsidR="00A30F06">
        <w:rPr>
          <w:rFonts w:ascii="Arial" w:eastAsia="Times New Roman" w:hAnsi="Arial" w:cs="Arial"/>
          <w:sz w:val="20"/>
          <w:szCs w:val="20"/>
          <w:lang w:eastAsia="es-CL"/>
        </w:rPr>
        <w:t xml:space="preserve"> pregunta relacionada a la intervención en estos casos, específicamente</w:t>
      </w:r>
      <w:r>
        <w:rPr>
          <w:rFonts w:ascii="Arial" w:eastAsia="Times New Roman" w:hAnsi="Arial" w:cs="Arial"/>
          <w:sz w:val="20"/>
          <w:szCs w:val="20"/>
          <w:lang w:eastAsia="es-CL"/>
        </w:rPr>
        <w:t xml:space="preserve"> a có</w:t>
      </w:r>
      <w:r w:rsidR="00A30F06">
        <w:rPr>
          <w:rFonts w:ascii="Arial" w:eastAsia="Times New Roman" w:hAnsi="Arial" w:cs="Arial"/>
          <w:sz w:val="20"/>
          <w:szCs w:val="20"/>
          <w:lang w:eastAsia="es-CL"/>
        </w:rPr>
        <w:t xml:space="preserve">mo se aborda el no reconocimiento como víctima y como se puede </w:t>
      </w:r>
      <w:proofErr w:type="spellStart"/>
      <w:r>
        <w:rPr>
          <w:rFonts w:ascii="Arial" w:eastAsia="Times New Roman" w:hAnsi="Arial" w:cs="Arial"/>
          <w:sz w:val="20"/>
          <w:szCs w:val="20"/>
          <w:lang w:eastAsia="es-CL"/>
        </w:rPr>
        <w:t>intenta</w:t>
      </w:r>
      <w:proofErr w:type="spellEnd"/>
      <w:r w:rsidR="00A30F06">
        <w:rPr>
          <w:rFonts w:ascii="Arial" w:eastAsia="Times New Roman" w:hAnsi="Arial" w:cs="Arial"/>
          <w:sz w:val="20"/>
          <w:szCs w:val="20"/>
          <w:lang w:eastAsia="es-CL"/>
        </w:rPr>
        <w:t xml:space="preserve"> romper con la dinámica abusiva de intercambio instaurada por los explotadores.</w:t>
      </w:r>
    </w:p>
    <w:p w:rsidR="00A30F06" w:rsidRDefault="00A30F06" w:rsidP="00A30F06">
      <w:pPr>
        <w:shd w:val="clear" w:color="auto" w:fill="FFFFFF"/>
        <w:spacing w:after="0" w:line="240" w:lineRule="auto"/>
        <w:ind w:left="284"/>
        <w:textAlignment w:val="baseline"/>
        <w:rPr>
          <w:rFonts w:ascii="Arial" w:eastAsia="Times New Roman" w:hAnsi="Arial" w:cs="Arial"/>
          <w:sz w:val="20"/>
          <w:szCs w:val="20"/>
          <w:lang w:eastAsia="es-CL"/>
        </w:rPr>
      </w:pPr>
    </w:p>
    <w:p w:rsidR="00A30F06" w:rsidRDefault="00A30F06" w:rsidP="00A30F06">
      <w:pPr>
        <w:shd w:val="clear" w:color="auto" w:fill="FFFFFF"/>
        <w:spacing w:after="0" w:line="240" w:lineRule="auto"/>
        <w:ind w:left="284"/>
        <w:textAlignment w:val="baseline"/>
        <w:rPr>
          <w:rFonts w:ascii="Arial" w:eastAsia="Times New Roman" w:hAnsi="Arial" w:cs="Arial"/>
          <w:sz w:val="20"/>
          <w:szCs w:val="20"/>
          <w:lang w:eastAsia="es-CL"/>
        </w:rPr>
      </w:pPr>
    </w:p>
    <w:p w:rsidR="00A30F06" w:rsidRDefault="00A30F06" w:rsidP="00A30F06">
      <w:pPr>
        <w:shd w:val="clear" w:color="auto" w:fill="FFFFFF"/>
        <w:spacing w:after="0" w:line="240" w:lineRule="auto"/>
        <w:ind w:left="284"/>
        <w:textAlignment w:val="baseline"/>
        <w:rPr>
          <w:rFonts w:ascii="Arial" w:eastAsia="Times New Roman" w:hAnsi="Arial" w:cs="Arial"/>
          <w:sz w:val="20"/>
          <w:szCs w:val="20"/>
          <w:lang w:eastAsia="es-CL"/>
        </w:rPr>
      </w:pPr>
    </w:p>
    <w:p w:rsidR="00A30F06" w:rsidRDefault="00A30F06" w:rsidP="00A30F06">
      <w:pPr>
        <w:shd w:val="clear" w:color="auto" w:fill="FFFFFF"/>
        <w:spacing w:after="0" w:line="240" w:lineRule="auto"/>
        <w:ind w:left="284"/>
        <w:textAlignment w:val="baseline"/>
        <w:rPr>
          <w:rFonts w:ascii="Arial" w:eastAsia="Times New Roman" w:hAnsi="Arial" w:cs="Arial"/>
          <w:sz w:val="20"/>
          <w:szCs w:val="20"/>
          <w:lang w:eastAsia="es-CL"/>
        </w:rPr>
      </w:pPr>
    </w:p>
    <w:p w:rsidR="00A30F06" w:rsidRDefault="00A30F06" w:rsidP="00A30F06">
      <w:pPr>
        <w:shd w:val="clear" w:color="auto" w:fill="FFFFFF"/>
        <w:spacing w:after="0" w:line="240" w:lineRule="auto"/>
        <w:ind w:left="284"/>
        <w:textAlignment w:val="baseline"/>
        <w:rPr>
          <w:rFonts w:ascii="Arial" w:eastAsia="Times New Roman" w:hAnsi="Arial" w:cs="Arial"/>
          <w:sz w:val="20"/>
          <w:szCs w:val="20"/>
          <w:lang w:eastAsia="es-CL"/>
        </w:rPr>
      </w:pPr>
    </w:p>
    <w:p w:rsidR="00A30F06" w:rsidRDefault="00A30F06" w:rsidP="00A30F06">
      <w:pPr>
        <w:shd w:val="clear" w:color="auto" w:fill="FFFFFF"/>
        <w:spacing w:after="0" w:line="240" w:lineRule="auto"/>
        <w:ind w:left="284"/>
        <w:textAlignment w:val="baseline"/>
        <w:rPr>
          <w:rFonts w:ascii="Arial" w:eastAsia="Times New Roman" w:hAnsi="Arial" w:cs="Arial"/>
          <w:sz w:val="20"/>
          <w:szCs w:val="20"/>
          <w:lang w:eastAsia="es-CL"/>
        </w:rPr>
      </w:pPr>
    </w:p>
    <w:p w:rsidR="00A30F06" w:rsidRDefault="00A30F06" w:rsidP="00A30F06">
      <w:pPr>
        <w:shd w:val="clear" w:color="auto" w:fill="FFFFFF"/>
        <w:spacing w:after="0" w:line="240" w:lineRule="auto"/>
        <w:ind w:left="284"/>
        <w:textAlignment w:val="baseline"/>
        <w:rPr>
          <w:rFonts w:ascii="Arial" w:eastAsia="Times New Roman" w:hAnsi="Arial" w:cs="Arial"/>
          <w:sz w:val="20"/>
          <w:szCs w:val="20"/>
          <w:lang w:eastAsia="es-CL"/>
        </w:rPr>
      </w:pPr>
      <w:r>
        <w:rPr>
          <w:rFonts w:ascii="Arial" w:eastAsia="Times New Roman" w:hAnsi="Arial" w:cs="Arial"/>
          <w:sz w:val="20"/>
          <w:szCs w:val="20"/>
          <w:lang w:eastAsia="es-CL"/>
        </w:rPr>
        <w:t>CAROLINA MUÑOZ SOLAR</w:t>
      </w:r>
    </w:p>
    <w:p w:rsidR="00A30F06" w:rsidRPr="00986FD4" w:rsidRDefault="008302E6" w:rsidP="00A30F06">
      <w:pPr>
        <w:shd w:val="clear" w:color="auto" w:fill="FFFFFF"/>
        <w:spacing w:after="0" w:line="240" w:lineRule="auto"/>
        <w:ind w:left="284"/>
        <w:textAlignment w:val="baseline"/>
        <w:rPr>
          <w:rFonts w:ascii="Arial" w:eastAsia="Times New Roman" w:hAnsi="Arial" w:cs="Arial"/>
          <w:sz w:val="20"/>
          <w:szCs w:val="20"/>
          <w:lang w:eastAsia="es-CL"/>
        </w:rPr>
      </w:pPr>
      <w:r>
        <w:rPr>
          <w:rFonts w:ascii="Arial" w:eastAsia="Times New Roman" w:hAnsi="Arial" w:cs="Arial"/>
          <w:sz w:val="20"/>
          <w:szCs w:val="20"/>
          <w:lang w:eastAsia="es-CL"/>
        </w:rPr>
        <w:t>PSICÓLOGA</w:t>
      </w:r>
    </w:p>
    <w:p w:rsidR="00BE09AF" w:rsidRPr="00986FD4" w:rsidRDefault="00BE09AF" w:rsidP="00BE09AF">
      <w:pPr>
        <w:pStyle w:val="Prrafodelista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E09AF" w:rsidRPr="00986F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65F1C"/>
    <w:multiLevelType w:val="multilevel"/>
    <w:tmpl w:val="E66ECE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06870"/>
    <w:multiLevelType w:val="hybridMultilevel"/>
    <w:tmpl w:val="6150D4C2"/>
    <w:lvl w:ilvl="0" w:tplc="06D6B2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A10E6"/>
    <w:multiLevelType w:val="hybridMultilevel"/>
    <w:tmpl w:val="9978F59C"/>
    <w:lvl w:ilvl="0" w:tplc="391E7B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D3"/>
    <w:rsid w:val="00071A10"/>
    <w:rsid w:val="000D1C5C"/>
    <w:rsid w:val="000E2AC0"/>
    <w:rsid w:val="001529F0"/>
    <w:rsid w:val="0019798D"/>
    <w:rsid w:val="002C57B6"/>
    <w:rsid w:val="00335422"/>
    <w:rsid w:val="00343C01"/>
    <w:rsid w:val="00346AD6"/>
    <w:rsid w:val="003D2EFD"/>
    <w:rsid w:val="00411DC1"/>
    <w:rsid w:val="004B248C"/>
    <w:rsid w:val="00506BD3"/>
    <w:rsid w:val="005F3EFA"/>
    <w:rsid w:val="00711654"/>
    <w:rsid w:val="00772BAF"/>
    <w:rsid w:val="00797AE1"/>
    <w:rsid w:val="007F0F1C"/>
    <w:rsid w:val="008302E6"/>
    <w:rsid w:val="00891169"/>
    <w:rsid w:val="008B2E5E"/>
    <w:rsid w:val="008C4FFB"/>
    <w:rsid w:val="008D5BE6"/>
    <w:rsid w:val="00903E1F"/>
    <w:rsid w:val="00986FD4"/>
    <w:rsid w:val="00A30F06"/>
    <w:rsid w:val="00A37836"/>
    <w:rsid w:val="00A50143"/>
    <w:rsid w:val="00AA4E16"/>
    <w:rsid w:val="00B56893"/>
    <w:rsid w:val="00B85E6A"/>
    <w:rsid w:val="00BE09AF"/>
    <w:rsid w:val="00C754E3"/>
    <w:rsid w:val="00CB0E8D"/>
    <w:rsid w:val="00D24C34"/>
    <w:rsid w:val="00D36C57"/>
    <w:rsid w:val="00DF2EEA"/>
    <w:rsid w:val="00E105B8"/>
    <w:rsid w:val="00E25305"/>
    <w:rsid w:val="00E2557E"/>
    <w:rsid w:val="00E25C36"/>
    <w:rsid w:val="00EC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530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E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530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E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5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Angelica Muñoz Solar</dc:creator>
  <cp:lastModifiedBy>Carolina Angelica Muñoz Solar</cp:lastModifiedBy>
  <cp:revision>2</cp:revision>
  <dcterms:created xsi:type="dcterms:W3CDTF">2017-01-13T21:28:00Z</dcterms:created>
  <dcterms:modified xsi:type="dcterms:W3CDTF">2017-01-13T21:28:00Z</dcterms:modified>
</cp:coreProperties>
</file>