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43" w:rsidRDefault="00243F43" w:rsidP="00243F43">
      <w:pPr>
        <w:jc w:val="both"/>
      </w:pPr>
      <w:r>
        <w:t>En relación a lo recuperado por los videos, y como un resumen de lo adquirido a lo largo de esta semana inicial, el primer desafío se vincula con el lograr problematizar en torno a las nociones de infancia existente en la sociedad chilena actual, analizando de manera crítica por lo tanto este constructo social; desde el cual es posible de observar el menoscabo constante, discriminación e invisibilización que se desarrolla respecto a este grupo a lo largo de la historia de las distintas culturas globales.</w:t>
      </w:r>
    </w:p>
    <w:p w:rsidR="00243F43" w:rsidRDefault="00243F43" w:rsidP="00243F43">
      <w:pPr>
        <w:jc w:val="both"/>
      </w:pPr>
      <w:r>
        <w:t xml:space="preserve">Por otra parte y frente a las problemáticas particulares que se enfrentan lxs NNA, es posible desarrollar un análisis respecto a la ESCNNA, el cual será necesario analizarlo desde una perspectiva en la que se le comprenda como una de las más graves violaciones a los derechos humanos presentes en la actualidad, debido a que la explotación sexual comercial puede ser comprendido como una forma moderna de la esclavitud, como a su vez; es posible de reconocer la existencia de organizaciones criminales tras la organización y la facilitación de contextos en los cuales se vulneren los derechos de NNA. </w:t>
      </w:r>
    </w:p>
    <w:p w:rsidR="00243F43" w:rsidRDefault="00243F43" w:rsidP="00243F43">
      <w:pPr>
        <w:jc w:val="both"/>
      </w:pPr>
      <w:r>
        <w:t>A su vez, estos contextos de vulneraciones también pueden estar presentes a una micro-escala, con grupos y/o personas organizados a nivel barrial o comunal; no obstante y problematizando lo ya señalado, es necesario un ejercicio reflexivo respecto a los prejuicios desarrollados por quien suscribe respecto a este fenómeno, debido a que el abuso sexual contra NNA como la ESCNNA no se presentarían por medio de casos típicos, debiendo desarrollar por lo tanto parte de los conocimientos del oficio del Trabajo Social que nos incentiva a estar constantemente abierto a la capacidad de asombro y nuevas y variadas manifestaciones de los distintos fenómenos sociales.</w:t>
      </w:r>
    </w:p>
    <w:p w:rsidR="00243F43" w:rsidRDefault="00243F43" w:rsidP="00243F43">
      <w:pPr>
        <w:jc w:val="both"/>
      </w:pPr>
      <w:r>
        <w:t xml:space="preserve">Frente a lo anterior lo que más me llama la atención es la invisibilizacion y el reconocimiento en el ejercicio profesional la presencia de situaciones de prácticas de abuso entre pares, existiendo una alta normalización tanto en las prácticas sexuales, como en la noción del intercambio que bordearían o se podrían llegar a comprender como prácticas de explotación y/o abuso sexual. Lo anterior nos permite no solo reconocer en discursos de jóvenes situaciones de alto riesgo, que naturalizan lo anterior sino que además podrían invisibilizar prácticas vivenciados por los mismos jóvenes (o cercano), como a su vez la dificultades desarrolladas por parte de este grupo para llegar a reconocer la influencia ejercidas por y el contexto social en el que se envuelven de manera cotidiana, el cual podría llegar a incidir en las significaciones respecto a dichas prácticas </w:t>
      </w:r>
    </w:p>
    <w:p w:rsidR="00243F43" w:rsidRDefault="00243F43" w:rsidP="00243F43">
      <w:pPr>
        <w:jc w:val="both"/>
      </w:pPr>
      <w:r>
        <w:t>Finalmente el desafío a modo personal respecto a este fenómeno, y en el desarrollo profesional en general se vincula con el problematizar y con el reflexionar respecto a las nuevas maneras a través de los cuales se pudiesen llegar a manifestar las diversas problemáticas sociales.</w:t>
      </w:r>
      <w:r>
        <w:br w:type="page"/>
      </w:r>
    </w:p>
    <w:p w:rsidR="00243F43" w:rsidRDefault="00243F43" w:rsidP="00243F43"/>
    <w:p w:rsidR="00243F43" w:rsidRDefault="00243F43" w:rsidP="00243F43"/>
    <w:p w:rsidR="00386122" w:rsidRDefault="00243F43">
      <w:r>
        <w:rPr>
          <w:noProof/>
          <w:lang w:eastAsia="es-CL"/>
        </w:rPr>
        <w:drawing>
          <wp:inline distT="0" distB="0" distL="0" distR="0">
            <wp:extent cx="5783283" cy="547452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386122" w:rsidSect="00C010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243F43"/>
    <w:rsid w:val="00243F43"/>
    <w:rsid w:val="0038612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F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3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76C722-AFC1-41F3-AE52-EC0AF1BB9E0E}" type="doc">
      <dgm:prSet loTypeId="urn:microsoft.com/office/officeart/2005/8/layout/radial3" loCatId="relationship" qsTypeId="urn:microsoft.com/office/officeart/2005/8/quickstyle/simple2" qsCatId="simple" csTypeId="urn:microsoft.com/office/officeart/2005/8/colors/accent4_2" csCatId="accent4" phldr="1"/>
      <dgm:spPr/>
      <dgm:t>
        <a:bodyPr/>
        <a:lstStyle/>
        <a:p>
          <a:endParaRPr lang="es-CL"/>
        </a:p>
      </dgm:t>
    </dgm:pt>
    <dgm:pt modelId="{7B19FDA5-A2B6-4F21-B062-25B9387ADA7D}">
      <dgm:prSet phldrT="[Texto]"/>
      <dgm:spPr/>
      <dgm:t>
        <a:bodyPr/>
        <a:lstStyle/>
        <a:p>
          <a:r>
            <a:rPr lang="es-CL">
              <a:ln>
                <a:solidFill>
                  <a:schemeClr val="tx1"/>
                </a:solidFill>
              </a:ln>
              <a:solidFill>
                <a:schemeClr val="bg1"/>
              </a:solidFill>
            </a:rPr>
            <a:t>ESCNNA</a:t>
          </a:r>
        </a:p>
      </dgm:t>
    </dgm:pt>
    <dgm:pt modelId="{E1F75C68-C5AA-4666-92A6-F986EBE2547F}" type="parTrans" cxnId="{FB9649E3-1946-4B68-97D6-030698DB9EA1}">
      <dgm:prSet/>
      <dgm:spPr/>
      <dgm:t>
        <a:bodyPr/>
        <a:lstStyle/>
        <a:p>
          <a:endParaRPr lang="es-CL"/>
        </a:p>
      </dgm:t>
    </dgm:pt>
    <dgm:pt modelId="{BE9D5A19-A095-4F4F-8302-D7F42B5F5D33}" type="sibTrans" cxnId="{FB9649E3-1946-4B68-97D6-030698DB9EA1}">
      <dgm:prSet/>
      <dgm:spPr/>
      <dgm:t>
        <a:bodyPr/>
        <a:lstStyle/>
        <a:p>
          <a:endParaRPr lang="es-CL"/>
        </a:p>
      </dgm:t>
    </dgm:pt>
    <dgm:pt modelId="{D2417944-437A-414D-9D7C-4395377D8C14}">
      <dgm:prSet phldrT="[Texto]" custT="1"/>
      <dgm:spPr/>
      <dgm:t>
        <a:bodyPr/>
        <a:lstStyle/>
        <a:p>
          <a:r>
            <a:rPr lang="es-CL" sz="1000" b="1"/>
            <a:t>Forma moderna de exclavitud donde el NNA es reducido a calidad de mercancía</a:t>
          </a:r>
        </a:p>
      </dgm:t>
    </dgm:pt>
    <dgm:pt modelId="{CA17D2B0-4FB0-4AAA-A5AF-5E6A22039A5B}" type="parTrans" cxnId="{1614BE5C-03BE-4D4C-9E61-F8C456A271DB}">
      <dgm:prSet/>
      <dgm:spPr/>
      <dgm:t>
        <a:bodyPr/>
        <a:lstStyle/>
        <a:p>
          <a:endParaRPr lang="es-CL"/>
        </a:p>
      </dgm:t>
    </dgm:pt>
    <dgm:pt modelId="{671FE390-DEC8-4608-8C26-CFD7C0A1B0BD}" type="sibTrans" cxnId="{1614BE5C-03BE-4D4C-9E61-F8C456A271DB}">
      <dgm:prSet/>
      <dgm:spPr/>
      <dgm:t>
        <a:bodyPr/>
        <a:lstStyle/>
        <a:p>
          <a:endParaRPr lang="es-CL"/>
        </a:p>
      </dgm:t>
    </dgm:pt>
    <dgm:pt modelId="{0DF777A3-5449-4DE5-9CD5-155C09158A75}">
      <dgm:prSet phldrT="[Texto]" custT="1"/>
      <dgm:spPr/>
      <dgm:t>
        <a:bodyPr/>
        <a:lstStyle/>
        <a:p>
          <a:r>
            <a:rPr lang="es-CL" sz="1000" b="1"/>
            <a:t>Puede ser comprendida como una o la más Grave Violanción a los DDHH en la actualidad</a:t>
          </a:r>
        </a:p>
      </dgm:t>
    </dgm:pt>
    <dgm:pt modelId="{A9A3F8C4-776E-42E8-93EB-E0C8C5B8ED28}" type="parTrans" cxnId="{74B6D0AE-E2F8-4EE2-BB95-2494E66810FE}">
      <dgm:prSet/>
      <dgm:spPr/>
      <dgm:t>
        <a:bodyPr/>
        <a:lstStyle/>
        <a:p>
          <a:endParaRPr lang="es-CL"/>
        </a:p>
      </dgm:t>
    </dgm:pt>
    <dgm:pt modelId="{87A2636D-83A4-46BB-9C9D-D53E9F3165DC}" type="sibTrans" cxnId="{74B6D0AE-E2F8-4EE2-BB95-2494E66810FE}">
      <dgm:prSet/>
      <dgm:spPr/>
      <dgm:t>
        <a:bodyPr/>
        <a:lstStyle/>
        <a:p>
          <a:endParaRPr lang="es-CL"/>
        </a:p>
      </dgm:t>
    </dgm:pt>
    <dgm:pt modelId="{C5794682-EBB8-4966-8AEE-F8C20E830A7E}">
      <dgm:prSet phldrT="[Texto]" custT="1"/>
      <dgm:spPr/>
      <dgm:t>
        <a:bodyPr/>
        <a:lstStyle/>
        <a:p>
          <a:r>
            <a:rPr lang="es-CL" sz="1000" b="1"/>
            <a:t>Es un fenómeno que se encontraría presente en todos los países, pudiendose comprender como una problemática global</a:t>
          </a:r>
        </a:p>
      </dgm:t>
    </dgm:pt>
    <dgm:pt modelId="{3A47C1E0-BCFF-423D-82BE-34AF4E82F1F7}" type="parTrans" cxnId="{81B9E369-79D4-4A24-8CBE-948956E6B93D}">
      <dgm:prSet/>
      <dgm:spPr/>
      <dgm:t>
        <a:bodyPr/>
        <a:lstStyle/>
        <a:p>
          <a:endParaRPr lang="es-CL"/>
        </a:p>
      </dgm:t>
    </dgm:pt>
    <dgm:pt modelId="{991EB848-1AF0-4061-9C51-65A7772E8B14}" type="sibTrans" cxnId="{81B9E369-79D4-4A24-8CBE-948956E6B93D}">
      <dgm:prSet/>
      <dgm:spPr/>
      <dgm:t>
        <a:bodyPr/>
        <a:lstStyle/>
        <a:p>
          <a:endParaRPr lang="es-CL"/>
        </a:p>
      </dgm:t>
    </dgm:pt>
    <dgm:pt modelId="{5531871F-DD42-4DF2-BE32-8B33D9D59C13}">
      <dgm:prSet custT="1"/>
      <dgm:spPr/>
      <dgm:t>
        <a:bodyPr/>
        <a:lstStyle/>
        <a:p>
          <a:r>
            <a:rPr lang="es-CL" sz="900" b="1"/>
            <a:t>Algunas de sus modalidades es el comercio sexual infantil,  el trato y trafico con fines de comercio sexual, el turismo con fines sexual y la produccion de imagenes sexuales abusivas</a:t>
          </a:r>
        </a:p>
      </dgm:t>
    </dgm:pt>
    <dgm:pt modelId="{42B3D42B-5C2C-4B0B-881B-B1644189963D}" type="parTrans" cxnId="{7037BA3A-8624-4FF8-B62A-EF2F1167904E}">
      <dgm:prSet/>
      <dgm:spPr/>
      <dgm:t>
        <a:bodyPr/>
        <a:lstStyle/>
        <a:p>
          <a:endParaRPr lang="es-CL"/>
        </a:p>
      </dgm:t>
    </dgm:pt>
    <dgm:pt modelId="{5D44D6FF-8276-418B-8EC0-244D4EE06585}" type="sibTrans" cxnId="{7037BA3A-8624-4FF8-B62A-EF2F1167904E}">
      <dgm:prSet/>
      <dgm:spPr/>
      <dgm:t>
        <a:bodyPr/>
        <a:lstStyle/>
        <a:p>
          <a:endParaRPr lang="es-CL"/>
        </a:p>
      </dgm:t>
    </dgm:pt>
    <dgm:pt modelId="{F5DAB333-D6E0-4944-A5DA-75FECF508957}">
      <dgm:prSet custT="1"/>
      <dgm:spPr/>
      <dgm:t>
        <a:bodyPr/>
        <a:lstStyle/>
        <a:p>
          <a:r>
            <a:rPr lang="es-CL" sz="900" b="1"/>
            <a:t>La mayor cantidad de victimas son niñas y jovenes mujeres, requiriendo considerar la perspectiva de género para analizar el fenómeno.</a:t>
          </a:r>
        </a:p>
      </dgm:t>
    </dgm:pt>
    <dgm:pt modelId="{42517782-DA19-4179-B8A9-B2D4668E02D2}" type="parTrans" cxnId="{E1BE355C-1797-4154-95E2-362B660EF9BE}">
      <dgm:prSet/>
      <dgm:spPr/>
      <dgm:t>
        <a:bodyPr/>
        <a:lstStyle/>
        <a:p>
          <a:endParaRPr lang="es-CL"/>
        </a:p>
      </dgm:t>
    </dgm:pt>
    <dgm:pt modelId="{CDC5DA21-A477-439C-9256-9D011823A32D}" type="sibTrans" cxnId="{E1BE355C-1797-4154-95E2-362B660EF9BE}">
      <dgm:prSet/>
      <dgm:spPr/>
      <dgm:t>
        <a:bodyPr/>
        <a:lstStyle/>
        <a:p>
          <a:endParaRPr lang="es-CL"/>
        </a:p>
      </dgm:t>
    </dgm:pt>
    <dgm:pt modelId="{7D1A3B82-8C3A-42B0-9922-86CD58BFB723}">
      <dgm:prSet custT="1"/>
      <dgm:spPr/>
      <dgm:t>
        <a:bodyPr/>
        <a:lstStyle/>
        <a:p>
          <a:r>
            <a:rPr lang="es-CL" sz="900" b="1"/>
            <a:t>El fenómeno en el caso Chileno se presenta invisibilizado por gran parte de la sociedad, lo cual se puede asociar a la insuficiente sensibilizacion y promoción respecto a la problemática.</a:t>
          </a:r>
        </a:p>
      </dgm:t>
    </dgm:pt>
    <dgm:pt modelId="{BD93E3E1-8F8A-40DA-A83B-324B00486B94}" type="parTrans" cxnId="{58EAEC50-3DAC-4978-8F54-69C6B2F819B2}">
      <dgm:prSet/>
      <dgm:spPr/>
      <dgm:t>
        <a:bodyPr/>
        <a:lstStyle/>
        <a:p>
          <a:endParaRPr lang="es-CL"/>
        </a:p>
      </dgm:t>
    </dgm:pt>
    <dgm:pt modelId="{39B13E99-88A0-44B0-9FDC-A942DAA37199}" type="sibTrans" cxnId="{58EAEC50-3DAC-4978-8F54-69C6B2F819B2}">
      <dgm:prSet/>
      <dgm:spPr/>
      <dgm:t>
        <a:bodyPr/>
        <a:lstStyle/>
        <a:p>
          <a:endParaRPr lang="es-CL"/>
        </a:p>
      </dgm:t>
    </dgm:pt>
    <dgm:pt modelId="{CF9EF397-E1B5-4653-A29D-C872696F224F}">
      <dgm:prSet custT="1"/>
      <dgm:spPr/>
      <dgm:t>
        <a:bodyPr/>
        <a:lstStyle/>
        <a:p>
          <a:r>
            <a:rPr lang="es-CL" sz="900" b="1"/>
            <a:t>Explotación sexual comer</a:t>
          </a:r>
          <a:r>
            <a:rPr lang="es-CL" sz="900" b="1">
              <a:solidFill>
                <a:schemeClr val="tx1"/>
              </a:solidFill>
            </a:rPr>
            <a:t>cial se centra en el beneficio comercial, en el sentido económico, relacionada con la delincuencia organizada donde el fin es su propio lucro. Es utilizado como </a:t>
          </a:r>
          <a:r>
            <a:rPr lang="es-CL" sz="900" b="1"/>
            <a:t>medio la violencia sexual</a:t>
          </a:r>
        </a:p>
      </dgm:t>
    </dgm:pt>
    <dgm:pt modelId="{8B8CB4B4-23B5-44F4-B03E-5DB21FCED9E4}" type="parTrans" cxnId="{9BE72487-899E-49AC-905E-4BA2FE919AFA}">
      <dgm:prSet/>
      <dgm:spPr/>
      <dgm:t>
        <a:bodyPr/>
        <a:lstStyle/>
        <a:p>
          <a:endParaRPr lang="es-CL"/>
        </a:p>
      </dgm:t>
    </dgm:pt>
    <dgm:pt modelId="{9958523A-4ECF-492A-94BD-1880C943B258}" type="sibTrans" cxnId="{9BE72487-899E-49AC-905E-4BA2FE919AFA}">
      <dgm:prSet/>
      <dgm:spPr/>
      <dgm:t>
        <a:bodyPr/>
        <a:lstStyle/>
        <a:p>
          <a:endParaRPr lang="es-CL"/>
        </a:p>
      </dgm:t>
    </dgm:pt>
    <dgm:pt modelId="{C1411459-55BC-4C1A-9241-5D74AB2ED6CB}" type="pres">
      <dgm:prSet presAssocID="{2776C722-AFC1-41F3-AE52-EC0AF1BB9E0E}" presName="composite" presStyleCnt="0">
        <dgm:presLayoutVars>
          <dgm:chMax val="1"/>
          <dgm:dir/>
          <dgm:resizeHandles val="exact"/>
        </dgm:presLayoutVars>
      </dgm:prSet>
      <dgm:spPr/>
    </dgm:pt>
    <dgm:pt modelId="{78AEEA25-7D21-4BB2-BBE0-A62E21BD0621}" type="pres">
      <dgm:prSet presAssocID="{2776C722-AFC1-41F3-AE52-EC0AF1BB9E0E}" presName="radial" presStyleCnt="0">
        <dgm:presLayoutVars>
          <dgm:animLvl val="ctr"/>
        </dgm:presLayoutVars>
      </dgm:prSet>
      <dgm:spPr/>
    </dgm:pt>
    <dgm:pt modelId="{5E710723-10A2-461E-AFB1-302B25930D7E}" type="pres">
      <dgm:prSet presAssocID="{7B19FDA5-A2B6-4F21-B062-25B9387ADA7D}" presName="centerShape" presStyleLbl="vennNode1" presStyleIdx="0" presStyleCnt="8" custLinFactNeighborY="-1180"/>
      <dgm:spPr/>
    </dgm:pt>
    <dgm:pt modelId="{9D407E4D-E2B7-4B45-BC19-22DBE161699A}" type="pres">
      <dgm:prSet presAssocID="{D2417944-437A-414D-9D7C-4395377D8C14}" presName="node" presStyleLbl="vennNode1" presStyleIdx="1" presStyleCnt="8">
        <dgm:presLayoutVars>
          <dgm:bulletEnabled val="1"/>
        </dgm:presLayoutVars>
      </dgm:prSet>
      <dgm:spPr/>
      <dgm:t>
        <a:bodyPr/>
        <a:lstStyle/>
        <a:p>
          <a:endParaRPr lang="es-CL"/>
        </a:p>
      </dgm:t>
    </dgm:pt>
    <dgm:pt modelId="{5AA5E129-7283-4743-86FE-4571DE7AD455}" type="pres">
      <dgm:prSet presAssocID="{0DF777A3-5449-4DE5-9CD5-155C09158A75}" presName="node" presStyleLbl="vennNode1" presStyleIdx="2" presStyleCnt="8">
        <dgm:presLayoutVars>
          <dgm:bulletEnabled val="1"/>
        </dgm:presLayoutVars>
      </dgm:prSet>
      <dgm:spPr/>
      <dgm:t>
        <a:bodyPr/>
        <a:lstStyle/>
        <a:p>
          <a:endParaRPr lang="es-CL"/>
        </a:p>
      </dgm:t>
    </dgm:pt>
    <dgm:pt modelId="{5BD128C5-B27D-4C01-AEBB-0C97D00DDC12}" type="pres">
      <dgm:prSet presAssocID="{C5794682-EBB8-4966-8AEE-F8C20E830A7E}" presName="node" presStyleLbl="vennNode1" presStyleIdx="3" presStyleCnt="8">
        <dgm:presLayoutVars>
          <dgm:bulletEnabled val="1"/>
        </dgm:presLayoutVars>
      </dgm:prSet>
      <dgm:spPr/>
      <dgm:t>
        <a:bodyPr/>
        <a:lstStyle/>
        <a:p>
          <a:endParaRPr lang="es-CL"/>
        </a:p>
      </dgm:t>
    </dgm:pt>
    <dgm:pt modelId="{00C57B96-2073-499E-953B-5BF4A86E58DB}" type="pres">
      <dgm:prSet presAssocID="{5531871F-DD42-4DF2-BE32-8B33D9D59C13}" presName="node" presStyleLbl="vennNode1" presStyleIdx="4" presStyleCnt="8">
        <dgm:presLayoutVars>
          <dgm:bulletEnabled val="1"/>
        </dgm:presLayoutVars>
      </dgm:prSet>
      <dgm:spPr/>
      <dgm:t>
        <a:bodyPr/>
        <a:lstStyle/>
        <a:p>
          <a:endParaRPr lang="es-CL"/>
        </a:p>
      </dgm:t>
    </dgm:pt>
    <dgm:pt modelId="{9BE1E13C-3EB1-42D8-A2C4-B2A43B35AE08}" type="pres">
      <dgm:prSet presAssocID="{F5DAB333-D6E0-4944-A5DA-75FECF508957}" presName="node" presStyleLbl="vennNode1" presStyleIdx="5" presStyleCnt="8" custRadScaleRad="96857" custRadScaleInc="-1268">
        <dgm:presLayoutVars>
          <dgm:bulletEnabled val="1"/>
        </dgm:presLayoutVars>
      </dgm:prSet>
      <dgm:spPr/>
      <dgm:t>
        <a:bodyPr/>
        <a:lstStyle/>
        <a:p>
          <a:endParaRPr lang="es-CL"/>
        </a:p>
      </dgm:t>
    </dgm:pt>
    <dgm:pt modelId="{8157531A-A7ED-455C-80EB-9C78D2115861}" type="pres">
      <dgm:prSet presAssocID="{7D1A3B82-8C3A-42B0-9922-86CD58BFB723}" presName="node" presStyleLbl="vennNode1" presStyleIdx="6" presStyleCnt="8" custScaleX="105763" custRadScaleRad="102628" custRadScaleInc="1961">
        <dgm:presLayoutVars>
          <dgm:bulletEnabled val="1"/>
        </dgm:presLayoutVars>
      </dgm:prSet>
      <dgm:spPr/>
      <dgm:t>
        <a:bodyPr/>
        <a:lstStyle/>
        <a:p>
          <a:endParaRPr lang="es-CL"/>
        </a:p>
      </dgm:t>
    </dgm:pt>
    <dgm:pt modelId="{4B5DCA11-2BE8-473A-9348-46C1B9F8BB22}" type="pres">
      <dgm:prSet presAssocID="{CF9EF397-E1B5-4653-A29D-C872696F224F}" presName="node" presStyleLbl="vennNode1" presStyleIdx="7" presStyleCnt="8" custScaleX="107510" custScaleY="102010" custRadScaleRad="103602" custRadScaleInc="1789">
        <dgm:presLayoutVars>
          <dgm:bulletEnabled val="1"/>
        </dgm:presLayoutVars>
      </dgm:prSet>
      <dgm:spPr/>
      <dgm:t>
        <a:bodyPr/>
        <a:lstStyle/>
        <a:p>
          <a:endParaRPr lang="es-CL"/>
        </a:p>
      </dgm:t>
    </dgm:pt>
  </dgm:ptLst>
  <dgm:cxnLst>
    <dgm:cxn modelId="{81B9E369-79D4-4A24-8CBE-948956E6B93D}" srcId="{7B19FDA5-A2B6-4F21-B062-25B9387ADA7D}" destId="{C5794682-EBB8-4966-8AEE-F8C20E830A7E}" srcOrd="2" destOrd="0" parTransId="{3A47C1E0-BCFF-423D-82BE-34AF4E82F1F7}" sibTransId="{991EB848-1AF0-4061-9C51-65A7772E8B14}"/>
    <dgm:cxn modelId="{6FACCD82-35B2-4461-84A6-FCCBDEBA2659}" type="presOf" srcId="{2776C722-AFC1-41F3-AE52-EC0AF1BB9E0E}" destId="{C1411459-55BC-4C1A-9241-5D74AB2ED6CB}" srcOrd="0" destOrd="0" presId="urn:microsoft.com/office/officeart/2005/8/layout/radial3"/>
    <dgm:cxn modelId="{74B6D0AE-E2F8-4EE2-BB95-2494E66810FE}" srcId="{7B19FDA5-A2B6-4F21-B062-25B9387ADA7D}" destId="{0DF777A3-5449-4DE5-9CD5-155C09158A75}" srcOrd="1" destOrd="0" parTransId="{A9A3F8C4-776E-42E8-93EB-E0C8C5B8ED28}" sibTransId="{87A2636D-83A4-46BB-9C9D-D53E9F3165DC}"/>
    <dgm:cxn modelId="{58EAEC50-3DAC-4978-8F54-69C6B2F819B2}" srcId="{7B19FDA5-A2B6-4F21-B062-25B9387ADA7D}" destId="{7D1A3B82-8C3A-42B0-9922-86CD58BFB723}" srcOrd="5" destOrd="0" parTransId="{BD93E3E1-8F8A-40DA-A83B-324B00486B94}" sibTransId="{39B13E99-88A0-44B0-9FDC-A942DAA37199}"/>
    <dgm:cxn modelId="{E1BE355C-1797-4154-95E2-362B660EF9BE}" srcId="{7B19FDA5-A2B6-4F21-B062-25B9387ADA7D}" destId="{F5DAB333-D6E0-4944-A5DA-75FECF508957}" srcOrd="4" destOrd="0" parTransId="{42517782-DA19-4179-B8A9-B2D4668E02D2}" sibTransId="{CDC5DA21-A477-439C-9256-9D011823A32D}"/>
    <dgm:cxn modelId="{1614BE5C-03BE-4D4C-9E61-F8C456A271DB}" srcId="{7B19FDA5-A2B6-4F21-B062-25B9387ADA7D}" destId="{D2417944-437A-414D-9D7C-4395377D8C14}" srcOrd="0" destOrd="0" parTransId="{CA17D2B0-4FB0-4AAA-A5AF-5E6A22039A5B}" sibTransId="{671FE390-DEC8-4608-8C26-CFD7C0A1B0BD}"/>
    <dgm:cxn modelId="{68DF1816-AF9C-42EA-90FE-AA396A6A7820}" type="presOf" srcId="{5531871F-DD42-4DF2-BE32-8B33D9D59C13}" destId="{00C57B96-2073-499E-953B-5BF4A86E58DB}" srcOrd="0" destOrd="0" presId="urn:microsoft.com/office/officeart/2005/8/layout/radial3"/>
    <dgm:cxn modelId="{18921FEA-FE71-4EE4-BDE7-DFCB01C8BCB6}" type="presOf" srcId="{D2417944-437A-414D-9D7C-4395377D8C14}" destId="{9D407E4D-E2B7-4B45-BC19-22DBE161699A}" srcOrd="0" destOrd="0" presId="urn:microsoft.com/office/officeart/2005/8/layout/radial3"/>
    <dgm:cxn modelId="{6FD7DBDD-ED68-49F7-B80A-09DED69CB803}" type="presOf" srcId="{CF9EF397-E1B5-4653-A29D-C872696F224F}" destId="{4B5DCA11-2BE8-473A-9348-46C1B9F8BB22}" srcOrd="0" destOrd="0" presId="urn:microsoft.com/office/officeart/2005/8/layout/radial3"/>
    <dgm:cxn modelId="{451EBC4E-7F83-479A-8017-B18099104B68}" type="presOf" srcId="{0DF777A3-5449-4DE5-9CD5-155C09158A75}" destId="{5AA5E129-7283-4743-86FE-4571DE7AD455}" srcOrd="0" destOrd="0" presId="urn:microsoft.com/office/officeart/2005/8/layout/radial3"/>
    <dgm:cxn modelId="{9B7B889E-E5C8-4B3D-A994-3441D53627E7}" type="presOf" srcId="{7B19FDA5-A2B6-4F21-B062-25B9387ADA7D}" destId="{5E710723-10A2-461E-AFB1-302B25930D7E}" srcOrd="0" destOrd="0" presId="urn:microsoft.com/office/officeart/2005/8/layout/radial3"/>
    <dgm:cxn modelId="{FB9649E3-1946-4B68-97D6-030698DB9EA1}" srcId="{2776C722-AFC1-41F3-AE52-EC0AF1BB9E0E}" destId="{7B19FDA5-A2B6-4F21-B062-25B9387ADA7D}" srcOrd="0" destOrd="0" parTransId="{E1F75C68-C5AA-4666-92A6-F986EBE2547F}" sibTransId="{BE9D5A19-A095-4F4F-8302-D7F42B5F5D33}"/>
    <dgm:cxn modelId="{7037BA3A-8624-4FF8-B62A-EF2F1167904E}" srcId="{7B19FDA5-A2B6-4F21-B062-25B9387ADA7D}" destId="{5531871F-DD42-4DF2-BE32-8B33D9D59C13}" srcOrd="3" destOrd="0" parTransId="{42B3D42B-5C2C-4B0B-881B-B1644189963D}" sibTransId="{5D44D6FF-8276-418B-8EC0-244D4EE06585}"/>
    <dgm:cxn modelId="{5D2EFC29-708C-426A-8938-DEEA8F9BB154}" type="presOf" srcId="{7D1A3B82-8C3A-42B0-9922-86CD58BFB723}" destId="{8157531A-A7ED-455C-80EB-9C78D2115861}" srcOrd="0" destOrd="0" presId="urn:microsoft.com/office/officeart/2005/8/layout/radial3"/>
    <dgm:cxn modelId="{9BE72487-899E-49AC-905E-4BA2FE919AFA}" srcId="{7B19FDA5-A2B6-4F21-B062-25B9387ADA7D}" destId="{CF9EF397-E1B5-4653-A29D-C872696F224F}" srcOrd="6" destOrd="0" parTransId="{8B8CB4B4-23B5-44F4-B03E-5DB21FCED9E4}" sibTransId="{9958523A-4ECF-492A-94BD-1880C943B258}"/>
    <dgm:cxn modelId="{2BC79058-B00E-49CF-BB5F-DE72FAE72974}" type="presOf" srcId="{C5794682-EBB8-4966-8AEE-F8C20E830A7E}" destId="{5BD128C5-B27D-4C01-AEBB-0C97D00DDC12}" srcOrd="0" destOrd="0" presId="urn:microsoft.com/office/officeart/2005/8/layout/radial3"/>
    <dgm:cxn modelId="{F733B2B4-EF8C-46EF-9B60-EBE9D0C8AD2A}" type="presOf" srcId="{F5DAB333-D6E0-4944-A5DA-75FECF508957}" destId="{9BE1E13C-3EB1-42D8-A2C4-B2A43B35AE08}" srcOrd="0" destOrd="0" presId="urn:microsoft.com/office/officeart/2005/8/layout/radial3"/>
    <dgm:cxn modelId="{FFBB9671-96C4-49EC-8315-A1EF0787661B}" type="presParOf" srcId="{C1411459-55BC-4C1A-9241-5D74AB2ED6CB}" destId="{78AEEA25-7D21-4BB2-BBE0-A62E21BD0621}" srcOrd="0" destOrd="0" presId="urn:microsoft.com/office/officeart/2005/8/layout/radial3"/>
    <dgm:cxn modelId="{4238B4C6-AC04-4253-8C56-34A8DAB8FB0B}" type="presParOf" srcId="{78AEEA25-7D21-4BB2-BBE0-A62E21BD0621}" destId="{5E710723-10A2-461E-AFB1-302B25930D7E}" srcOrd="0" destOrd="0" presId="urn:microsoft.com/office/officeart/2005/8/layout/radial3"/>
    <dgm:cxn modelId="{A8E6EC19-97EB-492C-992E-0BFEC9AFC24C}" type="presParOf" srcId="{78AEEA25-7D21-4BB2-BBE0-A62E21BD0621}" destId="{9D407E4D-E2B7-4B45-BC19-22DBE161699A}" srcOrd="1" destOrd="0" presId="urn:microsoft.com/office/officeart/2005/8/layout/radial3"/>
    <dgm:cxn modelId="{8982DF92-BB99-4FF4-BD15-D0D485CBCDE3}" type="presParOf" srcId="{78AEEA25-7D21-4BB2-BBE0-A62E21BD0621}" destId="{5AA5E129-7283-4743-86FE-4571DE7AD455}" srcOrd="2" destOrd="0" presId="urn:microsoft.com/office/officeart/2005/8/layout/radial3"/>
    <dgm:cxn modelId="{D586596C-CAD3-4622-BD97-6371FA7C22D4}" type="presParOf" srcId="{78AEEA25-7D21-4BB2-BBE0-A62E21BD0621}" destId="{5BD128C5-B27D-4C01-AEBB-0C97D00DDC12}" srcOrd="3" destOrd="0" presId="urn:microsoft.com/office/officeart/2005/8/layout/radial3"/>
    <dgm:cxn modelId="{3B6B6027-4554-4EF7-9249-2D6507972AFF}" type="presParOf" srcId="{78AEEA25-7D21-4BB2-BBE0-A62E21BD0621}" destId="{00C57B96-2073-499E-953B-5BF4A86E58DB}" srcOrd="4" destOrd="0" presId="urn:microsoft.com/office/officeart/2005/8/layout/radial3"/>
    <dgm:cxn modelId="{9E73C8D2-7CE5-4142-AB87-DA647E405C2D}" type="presParOf" srcId="{78AEEA25-7D21-4BB2-BBE0-A62E21BD0621}" destId="{9BE1E13C-3EB1-42D8-A2C4-B2A43B35AE08}" srcOrd="5" destOrd="0" presId="urn:microsoft.com/office/officeart/2005/8/layout/radial3"/>
    <dgm:cxn modelId="{2A776E65-A68C-42E0-A550-306DAAC4F6B8}" type="presParOf" srcId="{78AEEA25-7D21-4BB2-BBE0-A62E21BD0621}" destId="{8157531A-A7ED-455C-80EB-9C78D2115861}" srcOrd="6" destOrd="0" presId="urn:microsoft.com/office/officeart/2005/8/layout/radial3"/>
    <dgm:cxn modelId="{0A9E8C95-AE20-4210-82C9-70D3122186F5}" type="presParOf" srcId="{78AEEA25-7D21-4BB2-BBE0-A62E21BD0621}" destId="{4B5DCA11-2BE8-473A-9348-46C1B9F8BB22}" srcOrd="7" destOrd="0" presId="urn:microsoft.com/office/officeart/2005/8/layout/radial3"/>
  </dgm:cxnLst>
  <dgm:bg/>
  <dgm:whole/>
</dgm:dataModel>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451</Words>
  <Characters>2483</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suarez suarez</dc:creator>
  <cp:lastModifiedBy>sebastian suarez suarez</cp:lastModifiedBy>
  <cp:revision>1</cp:revision>
  <dcterms:created xsi:type="dcterms:W3CDTF">2017-01-22T05:12:00Z</dcterms:created>
  <dcterms:modified xsi:type="dcterms:W3CDTF">2017-01-22T05:27:00Z</dcterms:modified>
</cp:coreProperties>
</file>