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FC43" w14:textId="5461E954" w:rsidR="00B048A5" w:rsidRPr="00CF6335" w:rsidRDefault="00B048A5" w:rsidP="00B048A5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CF6335">
        <w:rPr>
          <w:b/>
          <w:bCs/>
          <w:sz w:val="26"/>
          <w:szCs w:val="26"/>
        </w:rPr>
        <w:t>Síntesis semana #</w:t>
      </w:r>
      <w:r>
        <w:rPr>
          <w:b/>
          <w:bCs/>
          <w:sz w:val="26"/>
          <w:szCs w:val="26"/>
        </w:rPr>
        <w:t>2</w:t>
      </w:r>
    </w:p>
    <w:p w14:paraId="54F4D987" w14:textId="77777777" w:rsidR="00B048A5" w:rsidRPr="004E36C8" w:rsidRDefault="00B048A5" w:rsidP="00B048A5">
      <w:pPr>
        <w:spacing w:after="0" w:line="240" w:lineRule="auto"/>
        <w:jc w:val="right"/>
        <w:rPr>
          <w:sz w:val="18"/>
          <w:szCs w:val="18"/>
        </w:rPr>
      </w:pPr>
      <w:r w:rsidRPr="004E36C8">
        <w:rPr>
          <w:sz w:val="18"/>
          <w:szCs w:val="18"/>
        </w:rPr>
        <w:t>Antonio Galdames Valenzuela</w:t>
      </w:r>
    </w:p>
    <w:p w14:paraId="5049FC3D" w14:textId="77777777" w:rsidR="00B048A5" w:rsidRDefault="00B048A5" w:rsidP="00B048A5">
      <w:pPr>
        <w:spacing w:after="0" w:line="240" w:lineRule="auto"/>
        <w:jc w:val="right"/>
        <w:rPr>
          <w:sz w:val="18"/>
          <w:szCs w:val="18"/>
        </w:rPr>
      </w:pPr>
      <w:r w:rsidRPr="004E36C8">
        <w:rPr>
          <w:sz w:val="18"/>
          <w:szCs w:val="18"/>
        </w:rPr>
        <w:t>Psicólogo</w:t>
      </w:r>
    </w:p>
    <w:p w14:paraId="415E9517" w14:textId="65B34C57" w:rsidR="00B048A5" w:rsidRPr="00485136" w:rsidRDefault="00B048A5" w:rsidP="00B048A5">
      <w:pPr>
        <w:spacing w:after="0" w:line="240" w:lineRule="auto"/>
        <w:jc w:val="right"/>
        <w:rPr>
          <w:sz w:val="20"/>
          <w:szCs w:val="20"/>
        </w:rPr>
      </w:pPr>
      <w:r>
        <w:rPr>
          <w:sz w:val="18"/>
          <w:szCs w:val="18"/>
        </w:rPr>
        <w:t>Ju</w:t>
      </w:r>
      <w:r w:rsidR="00531044">
        <w:rPr>
          <w:sz w:val="18"/>
          <w:szCs w:val="18"/>
        </w:rPr>
        <w:t>l</w:t>
      </w:r>
      <w:r>
        <w:rPr>
          <w:sz w:val="18"/>
          <w:szCs w:val="18"/>
        </w:rPr>
        <w:t>io, 2020.</w:t>
      </w:r>
    </w:p>
    <w:p w14:paraId="14CD1369" w14:textId="4B4112CF" w:rsidR="00B048A5" w:rsidRDefault="00B048A5"/>
    <w:p w14:paraId="396BD0B3" w14:textId="77777777" w:rsidR="005305C6" w:rsidRDefault="00D37128" w:rsidP="005305C6">
      <w:pPr>
        <w:jc w:val="both"/>
      </w:pPr>
      <w:r>
        <w:t xml:space="preserve">De </w:t>
      </w:r>
      <w:r w:rsidR="00FA7374">
        <w:t xml:space="preserve">acuerdo a las indicaciones de esta actividad, </w:t>
      </w:r>
      <w:r w:rsidR="00B048A5">
        <w:t>“</w:t>
      </w:r>
      <w:r w:rsidR="00FA7374" w:rsidRPr="00FA7374">
        <w:t>u</w:t>
      </w:r>
      <w:r w:rsidR="00B048A5" w:rsidRPr="00B048A5">
        <w:t>tilice una de las síntesis disponibles en </w:t>
      </w:r>
      <w:hyperlink r:id="rId5" w:tgtFrame="_blank" w:history="1">
        <w:r w:rsidR="00B048A5" w:rsidRPr="00B048A5">
          <w:t>SINTESIS DE LA SEMANA 1</w:t>
        </w:r>
      </w:hyperlink>
      <w:r w:rsidR="00B048A5" w:rsidRPr="00FA7374">
        <w:t>, y d</w:t>
      </w:r>
      <w:r w:rsidR="00B048A5" w:rsidRPr="00B048A5">
        <w:t>esarrolle un texto que grafique sus reflexiones acerca de los nuevos elementos para entender la ESCNNJ y su  marco socio</w:t>
      </w:r>
      <w:r w:rsidR="00FA7374">
        <w:t xml:space="preserve">-político, </w:t>
      </w:r>
      <w:r w:rsidR="00B048A5" w:rsidRPr="00B048A5">
        <w:t>en respuesta a la reflexión de su colega</w:t>
      </w:r>
      <w:r w:rsidR="00B048A5" w:rsidRPr="00FA7374">
        <w:t>”</w:t>
      </w:r>
      <w:r w:rsidR="00FA7374">
        <w:t xml:space="preserve">, es que he tomado la perteneciente a </w:t>
      </w:r>
      <w:r w:rsidR="00FA7374" w:rsidRPr="00A62BAE">
        <w:rPr>
          <w:b/>
          <w:bCs/>
        </w:rPr>
        <w:t>NORITA HENRÍQUEZ SANTANA</w:t>
      </w:r>
      <w:r w:rsidR="00FA7374">
        <w:t xml:space="preserve">. </w:t>
      </w:r>
      <w:r>
        <w:t xml:space="preserve">Opto por esta reflexión, considerando algunos puntos que me resultan relevantes, así como también hace alusión a situaciones desde su contexto, región de la Araucanía, lo que resulta relevante para este curso. </w:t>
      </w:r>
    </w:p>
    <w:p w14:paraId="0C7A9D6E" w14:textId="1275D840" w:rsidR="00D37128" w:rsidRDefault="00D37128" w:rsidP="005305C6">
      <w:pPr>
        <w:jc w:val="both"/>
        <w:rPr>
          <w:lang w:val="es-MX"/>
        </w:rPr>
      </w:pPr>
      <w:r>
        <w:t xml:space="preserve">En su reflexión, alude en primer lugar al </w:t>
      </w:r>
      <w:r w:rsidRPr="005305C6">
        <w:rPr>
          <w:u w:val="single"/>
        </w:rPr>
        <w:t xml:space="preserve">Capitalismo, como </w:t>
      </w:r>
      <w:r w:rsidRPr="005305C6">
        <w:rPr>
          <w:i/>
          <w:iCs/>
          <w:u w:val="single"/>
        </w:rPr>
        <w:t>modelo normativo</w:t>
      </w:r>
      <w:r w:rsidRPr="00D37128">
        <w:rPr>
          <w:i/>
          <w:iCs/>
        </w:rPr>
        <w:t>, que promueve la instrumentalización de la infancia</w:t>
      </w:r>
      <w:r>
        <w:t xml:space="preserve">. Así mismo, continua Norita, dando cuenta que el </w:t>
      </w:r>
      <w:r w:rsidRPr="00D37128">
        <w:rPr>
          <w:u w:val="single"/>
          <w:lang w:val="es-MX"/>
        </w:rPr>
        <w:t xml:space="preserve">Abuso sexual </w:t>
      </w:r>
      <w:r w:rsidRPr="005305C6">
        <w:rPr>
          <w:u w:val="single"/>
          <w:lang w:val="es-MX"/>
        </w:rPr>
        <w:t xml:space="preserve">tiene su base </w:t>
      </w:r>
      <w:r w:rsidRPr="00D37128">
        <w:rPr>
          <w:u w:val="single"/>
          <w:lang w:val="es-MX"/>
        </w:rPr>
        <w:t xml:space="preserve">en la </w:t>
      </w:r>
      <w:r w:rsidRPr="00D37128">
        <w:rPr>
          <w:i/>
          <w:iCs/>
          <w:u w:val="single"/>
          <w:lang w:val="es-MX"/>
        </w:rPr>
        <w:t>compensación y/o intercambio</w:t>
      </w:r>
      <w:r>
        <w:rPr>
          <w:lang w:val="es-MX"/>
        </w:rPr>
        <w:t xml:space="preserve">, valorando este hecho en sí mismo, como de </w:t>
      </w:r>
      <w:r w:rsidRPr="00D37128">
        <w:rPr>
          <w:i/>
          <w:iCs/>
          <w:lang w:val="es-MX"/>
        </w:rPr>
        <w:t>a</w:t>
      </w:r>
      <w:r w:rsidRPr="00D37128">
        <w:rPr>
          <w:i/>
          <w:iCs/>
          <w:lang w:val="es-MX"/>
        </w:rPr>
        <w:t>lta complejidad</w:t>
      </w:r>
      <w:r>
        <w:rPr>
          <w:lang w:val="es-MX"/>
        </w:rPr>
        <w:t xml:space="preserve">, al considerar que es una </w:t>
      </w:r>
      <w:r w:rsidRPr="00D37128">
        <w:rPr>
          <w:i/>
          <w:iCs/>
          <w:lang w:val="es-MX"/>
        </w:rPr>
        <w:t>g</w:t>
      </w:r>
      <w:r w:rsidRPr="00D37128">
        <w:rPr>
          <w:i/>
          <w:iCs/>
          <w:lang w:val="es-MX"/>
        </w:rPr>
        <w:t>rave violación a los derechos humanos</w:t>
      </w:r>
      <w:r>
        <w:rPr>
          <w:lang w:val="es-MX"/>
        </w:rPr>
        <w:t xml:space="preserve">. </w:t>
      </w:r>
      <w:r w:rsidR="00D903B8">
        <w:rPr>
          <w:lang w:val="es-MX"/>
        </w:rPr>
        <w:t xml:space="preserve">Luego hace referencia al modo como el modelo social, ‘intenta’ dar respuesta a este fenómeno, señalando la existencia de este </w:t>
      </w:r>
      <w:r w:rsidR="00D903B8" w:rsidRPr="005305C6">
        <w:rPr>
          <w:i/>
          <w:iCs/>
          <w:u w:val="single"/>
          <w:lang w:val="es-MX"/>
        </w:rPr>
        <w:t>m</w:t>
      </w:r>
      <w:r w:rsidRPr="00D37128">
        <w:rPr>
          <w:i/>
          <w:iCs/>
          <w:u w:val="single"/>
          <w:lang w:val="es-MX"/>
        </w:rPr>
        <w:t>odelo social "pobre de espíritu</w:t>
      </w:r>
      <w:r w:rsidR="00D903B8" w:rsidRPr="005305C6">
        <w:rPr>
          <w:u w:val="single"/>
          <w:lang w:val="es-MX"/>
        </w:rPr>
        <w:t>”</w:t>
      </w:r>
      <w:r w:rsidR="00D903B8">
        <w:rPr>
          <w:lang w:val="es-MX"/>
        </w:rPr>
        <w:t xml:space="preserve">. </w:t>
      </w:r>
    </w:p>
    <w:p w14:paraId="2A626566" w14:textId="5BEA8007" w:rsidR="001A3E97" w:rsidRDefault="00AD2268" w:rsidP="00BD7400">
      <w:pPr>
        <w:jc w:val="both"/>
      </w:pPr>
      <w:r>
        <w:t xml:space="preserve">a. </w:t>
      </w:r>
      <w:r w:rsidR="005305C6">
        <w:t xml:space="preserve">En primer lugar, destaco la referencia que Norita hace respecto de que </w:t>
      </w:r>
      <w:r w:rsidR="005305C6">
        <w:t>Capitalismo</w:t>
      </w:r>
      <w:r w:rsidR="005305C6">
        <w:t xml:space="preserve"> es la base </w:t>
      </w:r>
      <w:r w:rsidR="001A3E97">
        <w:t>del fenómeno de la ESCNNA, razón por la que ha de profundizar en aquellas</w:t>
      </w:r>
      <w:r w:rsidR="005305C6">
        <w:t xml:space="preserve"> </w:t>
      </w:r>
      <w:r w:rsidR="005305C6" w:rsidRPr="005305C6">
        <w:t>características</w:t>
      </w:r>
      <w:r w:rsidR="005305C6">
        <w:t xml:space="preserve"> de este modelo socio-político y económico</w:t>
      </w:r>
      <w:r w:rsidR="001A3E97">
        <w:t xml:space="preserve">, que se centra en la explotación universal, y un mínimo costo, y que lamentablemente, en nuestro país, las políticas que abordan esta realidad, replican aquellos principios originantes del fenómeno. </w:t>
      </w:r>
      <w:r w:rsidR="00190562">
        <w:t xml:space="preserve">Sin la comprensión y posterior problematización del contexto que sustenta este fenómeno difícil será establecer políticas que interrumpan tales prácticas abusivas, y se alejen de un mero asistencialismo también a mínimo costo, pero que no sea resolutivo de esta transgresión de derechos fundamentales. </w:t>
      </w:r>
      <w:r w:rsidR="00BD7400">
        <w:t xml:space="preserve">Y en este sentido, avanzo un poco más, al señalar -desde el planteamiento de la colega- que las prácticas que son reducidas y reactivas, al fin replican sin más, aquel modelo, satisfaciéndolo, lejos de atender las causas abusivas y explotadoras del modelo. </w:t>
      </w:r>
    </w:p>
    <w:p w14:paraId="28E1988C" w14:textId="03A63E55" w:rsidR="00BD7400" w:rsidRPr="00BD7400" w:rsidRDefault="00BD7400" w:rsidP="00BD7400">
      <w:pPr>
        <w:jc w:val="both"/>
      </w:pPr>
      <w:r>
        <w:t xml:space="preserve">No está de más traer a colación aquellas instituciones que centradas más en el modelo que lo sustente </w:t>
      </w:r>
      <w:r>
        <w:rPr>
          <w:i/>
          <w:iCs/>
        </w:rPr>
        <w:t>financieramente</w:t>
      </w:r>
      <w:r>
        <w:t xml:space="preserve">, terminan replicando modelos abusivos en aquellos niños que no son más que usuarios, pero sin fundarse en políticas internas y gubernamentales que sean garantes de derechos, protectoras y reparatorias de tales experiencias. </w:t>
      </w:r>
    </w:p>
    <w:p w14:paraId="5CE804D1" w14:textId="58315462" w:rsidR="00D37128" w:rsidRPr="0048008F" w:rsidRDefault="00AD2268" w:rsidP="00FA7374">
      <w:pPr>
        <w:jc w:val="both"/>
      </w:pPr>
      <w:r>
        <w:t>b. En segundo término me refiero a lo que Norita señala, vinculándolo a lo referido anteriormente: “</w:t>
      </w:r>
      <w:r w:rsidRPr="00AD2268">
        <w:rPr>
          <w:i/>
          <w:iCs/>
        </w:rPr>
        <w:t>a</w:t>
      </w:r>
      <w:r>
        <w:rPr>
          <w:i/>
          <w:iCs/>
        </w:rPr>
        <w:t xml:space="preserve">lgunos </w:t>
      </w:r>
      <w:r w:rsidRPr="00AD2268">
        <w:rPr>
          <w:i/>
          <w:iCs/>
          <w:lang w:val="es-MX"/>
        </w:rPr>
        <w:t>esfuerzos son deficientes a nivel país, con una baja respuesta a nivel de prevención, con un sistema de protección defectuoso y tardío, además de una política carente de procesamiento</w:t>
      </w:r>
      <w:r>
        <w:rPr>
          <w:lang w:val="es-MX"/>
        </w:rPr>
        <w:t xml:space="preserve">”. Ciertamente, cuando los esfuerzos del Estado son </w:t>
      </w:r>
      <w:r>
        <w:rPr>
          <w:i/>
          <w:iCs/>
          <w:lang w:val="es-MX"/>
        </w:rPr>
        <w:t xml:space="preserve">en la medida de lo posible </w:t>
      </w:r>
      <w:r>
        <w:rPr>
          <w:lang w:val="es-MX"/>
        </w:rPr>
        <w:t>-como nos recuerda Yesika Herrera-, no cabe duda que la problematización de la violencia del modelo, no es la prioridad, pues todos los esfuerzos se limitan en subsidiar un supuesto bienestar</w:t>
      </w:r>
      <w:r w:rsidR="0068256E">
        <w:rPr>
          <w:lang w:val="es-MX"/>
        </w:rPr>
        <w:t xml:space="preserve"> y resguardo de derechos, siempre que cada individuo no lo haya logrado resolver de manera autónoma</w:t>
      </w:r>
      <w:r w:rsidR="005B42F9">
        <w:rPr>
          <w:lang w:val="es-MX"/>
        </w:rPr>
        <w:t xml:space="preserve">… </w:t>
      </w:r>
      <w:r w:rsidR="00B35CD8">
        <w:rPr>
          <w:lang w:val="es-MX"/>
        </w:rPr>
        <w:t xml:space="preserve">Trágica realidad, que exige una reflexión seria, profunda y responsable, sea esto desde el Estado y que incluya a cada uno de los ciudadanos, sino, replicará y sostendrá </w:t>
      </w:r>
      <w:r w:rsidR="0048008F">
        <w:rPr>
          <w:lang w:val="es-MX"/>
        </w:rPr>
        <w:t xml:space="preserve">únicamente el modelo, </w:t>
      </w:r>
      <w:r w:rsidR="0048008F">
        <w:rPr>
          <w:i/>
          <w:iCs/>
          <w:lang w:val="es-MX"/>
        </w:rPr>
        <w:t>instrumentalizando</w:t>
      </w:r>
      <w:r w:rsidR="00D37128">
        <w:t xml:space="preserve"> </w:t>
      </w:r>
      <w:r w:rsidR="0048008F">
        <w:t xml:space="preserve">las vulneraciones de niños, niñas y jóvenes, en beneficio del modelo capitalista, abusivo por esencia, </w:t>
      </w:r>
      <w:r w:rsidR="00531044">
        <w:t xml:space="preserve">tal como </w:t>
      </w:r>
      <w:r w:rsidR="0048008F">
        <w:t xml:space="preserve">Norita </w:t>
      </w:r>
      <w:r w:rsidR="00531044">
        <w:t xml:space="preserve">señala, </w:t>
      </w:r>
      <w:r w:rsidR="0048008F">
        <w:rPr>
          <w:i/>
          <w:iCs/>
        </w:rPr>
        <w:t>Pobre de Espíritu</w:t>
      </w:r>
      <w:r w:rsidR="0048008F">
        <w:t xml:space="preserve">. </w:t>
      </w:r>
    </w:p>
    <w:sectPr w:rsidR="00D37128" w:rsidRPr="0048008F" w:rsidSect="00531044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E45A9"/>
    <w:multiLevelType w:val="hybridMultilevel"/>
    <w:tmpl w:val="2C1A37B0"/>
    <w:lvl w:ilvl="0" w:tplc="C5328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7C2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F6F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CD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F82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E8F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02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C6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A2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F314EC"/>
    <w:multiLevelType w:val="hybridMultilevel"/>
    <w:tmpl w:val="A6E8928C"/>
    <w:lvl w:ilvl="0" w:tplc="8730A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20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8E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EA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701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54E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4C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C3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E1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A5"/>
    <w:rsid w:val="00190562"/>
    <w:rsid w:val="001A3E97"/>
    <w:rsid w:val="0048008F"/>
    <w:rsid w:val="005305C6"/>
    <w:rsid w:val="00531044"/>
    <w:rsid w:val="005B42F9"/>
    <w:rsid w:val="0068256E"/>
    <w:rsid w:val="00A62BAE"/>
    <w:rsid w:val="00AD2268"/>
    <w:rsid w:val="00B048A5"/>
    <w:rsid w:val="00B35CD8"/>
    <w:rsid w:val="00BC19C3"/>
    <w:rsid w:val="00BD7400"/>
    <w:rsid w:val="00D37128"/>
    <w:rsid w:val="00D903B8"/>
    <w:rsid w:val="00F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C889"/>
  <w15:chartTrackingRefBased/>
  <w15:docId w15:val="{D061A4A4-06F0-4C53-AADB-1FBAEC8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8A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48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48A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3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gardotoro.cl/curso-introductorio-online-comprension-y-analisis-de-la-explotacion-sexual-comercial-de-ninos-ninas-y-adolescentes-escnna/bienvenida-al-curso/semana-1/sintesis-semana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Rehue1</dc:creator>
  <cp:keywords/>
  <dc:description/>
  <cp:lastModifiedBy>Rehue1</cp:lastModifiedBy>
  <cp:revision>2</cp:revision>
  <dcterms:created xsi:type="dcterms:W3CDTF">2020-08-04T21:18:00Z</dcterms:created>
  <dcterms:modified xsi:type="dcterms:W3CDTF">2020-08-04T21:18:00Z</dcterms:modified>
</cp:coreProperties>
</file>