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1038" w14:textId="19DACEB8" w:rsidR="00446E1A" w:rsidRPr="00DC5167" w:rsidRDefault="008860C1">
      <w:pPr>
        <w:rPr>
          <w:rFonts w:ascii="Arial" w:hAnsi="Arial" w:cs="Arial"/>
          <w:sz w:val="24"/>
          <w:szCs w:val="24"/>
        </w:rPr>
      </w:pPr>
      <w:r w:rsidRPr="00DC5167">
        <w:rPr>
          <w:rFonts w:ascii="Arial" w:hAnsi="Arial" w:cs="Arial"/>
          <w:sz w:val="24"/>
          <w:szCs w:val="24"/>
        </w:rPr>
        <w:t>Algunos de l</w:t>
      </w:r>
      <w:r w:rsidR="00446E1A" w:rsidRPr="00DC5167">
        <w:rPr>
          <w:rFonts w:ascii="Arial" w:hAnsi="Arial" w:cs="Arial"/>
          <w:sz w:val="24"/>
          <w:szCs w:val="24"/>
        </w:rPr>
        <w:t>os elementos centrales en la violencia de género online son, la inequidad de género, negligencia por parte del estado, dominio patriarcal, deficiencia en administración política de datos y privacidad.</w:t>
      </w:r>
    </w:p>
    <w:p w14:paraId="10ED4EBC" w14:textId="77777777" w:rsidR="00DA0CBF" w:rsidRPr="00DC5167" w:rsidRDefault="004E0C65">
      <w:pPr>
        <w:rPr>
          <w:rFonts w:ascii="Arial" w:hAnsi="Arial" w:cs="Arial"/>
          <w:sz w:val="24"/>
          <w:szCs w:val="24"/>
        </w:rPr>
      </w:pPr>
      <w:r w:rsidRPr="00DC5167">
        <w:rPr>
          <w:rFonts w:ascii="Arial" w:hAnsi="Arial" w:cs="Arial"/>
          <w:sz w:val="24"/>
          <w:szCs w:val="24"/>
        </w:rPr>
        <w:t xml:space="preserve">En contexto nacional </w:t>
      </w:r>
      <w:r w:rsidR="00884ECD" w:rsidRPr="00DC5167">
        <w:rPr>
          <w:rFonts w:ascii="Arial" w:hAnsi="Arial" w:cs="Arial"/>
          <w:sz w:val="24"/>
          <w:szCs w:val="24"/>
        </w:rPr>
        <w:t>Chile no incluye todas las formas de violencia contra las mujeres</w:t>
      </w:r>
      <w:r w:rsidR="00812C99" w:rsidRPr="00DC5167">
        <w:rPr>
          <w:rFonts w:ascii="Arial" w:hAnsi="Arial" w:cs="Arial"/>
          <w:sz w:val="24"/>
          <w:szCs w:val="24"/>
        </w:rPr>
        <w:t>. S</w:t>
      </w:r>
      <w:r w:rsidR="00884ECD" w:rsidRPr="00DC5167">
        <w:rPr>
          <w:rFonts w:ascii="Arial" w:hAnsi="Arial" w:cs="Arial"/>
          <w:sz w:val="24"/>
          <w:szCs w:val="24"/>
        </w:rPr>
        <w:t xml:space="preserve">olo recoge </w:t>
      </w:r>
      <w:r w:rsidR="00812C99" w:rsidRPr="00DC5167">
        <w:rPr>
          <w:rFonts w:ascii="Arial" w:hAnsi="Arial" w:cs="Arial"/>
          <w:sz w:val="24"/>
          <w:szCs w:val="24"/>
        </w:rPr>
        <w:t>distinciones centrándose</w:t>
      </w:r>
      <w:r w:rsidR="00884ECD" w:rsidRPr="00DC5167">
        <w:rPr>
          <w:rFonts w:ascii="Arial" w:hAnsi="Arial" w:cs="Arial"/>
          <w:sz w:val="24"/>
          <w:szCs w:val="24"/>
        </w:rPr>
        <w:t xml:space="preserve"> preferentemente en la llama </w:t>
      </w:r>
      <w:r w:rsidR="00812C99" w:rsidRPr="00DC5167">
        <w:rPr>
          <w:rFonts w:ascii="Arial" w:hAnsi="Arial" w:cs="Arial"/>
          <w:sz w:val="24"/>
          <w:szCs w:val="24"/>
        </w:rPr>
        <w:t>“</w:t>
      </w:r>
      <w:r w:rsidR="00884ECD" w:rsidRPr="00DC5167">
        <w:rPr>
          <w:rFonts w:ascii="Arial" w:hAnsi="Arial" w:cs="Arial"/>
          <w:sz w:val="24"/>
          <w:szCs w:val="24"/>
        </w:rPr>
        <w:t>violencia intrafamiliar</w:t>
      </w:r>
      <w:r w:rsidR="00812C99" w:rsidRPr="00DC5167">
        <w:rPr>
          <w:rFonts w:ascii="Arial" w:hAnsi="Arial" w:cs="Arial"/>
          <w:sz w:val="24"/>
          <w:szCs w:val="24"/>
        </w:rPr>
        <w:t>”</w:t>
      </w:r>
      <w:r w:rsidR="00776F9B" w:rsidRPr="00DC5167">
        <w:rPr>
          <w:rFonts w:ascii="Arial" w:hAnsi="Arial" w:cs="Arial"/>
          <w:sz w:val="24"/>
          <w:szCs w:val="24"/>
        </w:rPr>
        <w:t xml:space="preserve"> </w:t>
      </w:r>
      <w:r w:rsidR="00812C99" w:rsidRPr="00DC5167">
        <w:rPr>
          <w:rFonts w:ascii="Arial" w:hAnsi="Arial" w:cs="Arial"/>
          <w:sz w:val="24"/>
          <w:szCs w:val="24"/>
        </w:rPr>
        <w:t>de carácter general de violencia física y psicológica para quienes hayan tenido la calidad de cónyuge o relación de convivencia con é</w:t>
      </w:r>
      <w:r w:rsidR="00776F9B" w:rsidRPr="00DC5167">
        <w:rPr>
          <w:rFonts w:ascii="Arial" w:hAnsi="Arial" w:cs="Arial"/>
          <w:sz w:val="24"/>
          <w:szCs w:val="24"/>
        </w:rPr>
        <w:t>l</w:t>
      </w:r>
      <w:r w:rsidR="00DA0CBF" w:rsidRPr="00DC5167">
        <w:rPr>
          <w:rFonts w:ascii="Arial" w:hAnsi="Arial" w:cs="Arial"/>
          <w:sz w:val="24"/>
          <w:szCs w:val="24"/>
        </w:rPr>
        <w:t>,</w:t>
      </w:r>
      <w:r w:rsidR="00F341BF" w:rsidRPr="00DC5167">
        <w:rPr>
          <w:rFonts w:ascii="Arial" w:hAnsi="Arial" w:cs="Arial"/>
          <w:sz w:val="24"/>
          <w:szCs w:val="24"/>
        </w:rPr>
        <w:t xml:space="preserve"> g</w:t>
      </w:r>
      <w:r w:rsidR="008860C1" w:rsidRPr="00DC5167">
        <w:rPr>
          <w:rFonts w:ascii="Arial" w:hAnsi="Arial" w:cs="Arial"/>
          <w:sz w:val="24"/>
          <w:szCs w:val="24"/>
        </w:rPr>
        <w:t xml:space="preserve">enerando vacíos en el marco </w:t>
      </w:r>
      <w:r w:rsidR="00DA0CBF" w:rsidRPr="00DC5167">
        <w:rPr>
          <w:rFonts w:ascii="Arial" w:hAnsi="Arial" w:cs="Arial"/>
          <w:sz w:val="24"/>
          <w:szCs w:val="24"/>
        </w:rPr>
        <w:t>jurídico.</w:t>
      </w:r>
    </w:p>
    <w:p w14:paraId="57C1B4C8" w14:textId="67F771BE" w:rsidR="00DA0CBF" w:rsidRPr="00DC5167" w:rsidRDefault="00DA0CBF">
      <w:pPr>
        <w:rPr>
          <w:rFonts w:ascii="Arial" w:hAnsi="Arial" w:cs="Arial"/>
          <w:sz w:val="24"/>
          <w:szCs w:val="24"/>
        </w:rPr>
      </w:pPr>
      <w:r w:rsidRPr="00DC5167">
        <w:rPr>
          <w:rFonts w:ascii="Arial" w:hAnsi="Arial" w:cs="Arial"/>
          <w:sz w:val="24"/>
          <w:szCs w:val="24"/>
        </w:rPr>
        <w:t xml:space="preserve"> En</w:t>
      </w:r>
      <w:r w:rsidR="00F341BF" w:rsidRPr="00DC5167">
        <w:rPr>
          <w:rFonts w:ascii="Arial" w:hAnsi="Arial" w:cs="Arial"/>
          <w:sz w:val="24"/>
          <w:szCs w:val="24"/>
        </w:rPr>
        <w:t xml:space="preserve"> su mayoría </w:t>
      </w:r>
      <w:r w:rsidR="00E8108A" w:rsidRPr="00DC5167">
        <w:rPr>
          <w:rFonts w:ascii="Arial" w:hAnsi="Arial" w:cs="Arial"/>
          <w:sz w:val="24"/>
          <w:szCs w:val="24"/>
        </w:rPr>
        <w:t>las políticas</w:t>
      </w:r>
      <w:r w:rsidR="00F341BF" w:rsidRPr="00DC5167">
        <w:rPr>
          <w:rFonts w:ascii="Arial" w:hAnsi="Arial" w:cs="Arial"/>
          <w:sz w:val="24"/>
          <w:szCs w:val="24"/>
        </w:rPr>
        <w:t xml:space="preserve"> son </w:t>
      </w:r>
      <w:r w:rsidR="00E8108A" w:rsidRPr="00DC5167">
        <w:rPr>
          <w:rFonts w:ascii="Arial" w:hAnsi="Arial" w:cs="Arial"/>
          <w:sz w:val="24"/>
          <w:szCs w:val="24"/>
        </w:rPr>
        <w:t>insuficientes, carente de mirada de género y excluyentes</w:t>
      </w:r>
      <w:r w:rsidR="00884ECD" w:rsidRPr="00DC5167">
        <w:rPr>
          <w:rFonts w:ascii="Arial" w:hAnsi="Arial" w:cs="Arial"/>
          <w:sz w:val="24"/>
          <w:szCs w:val="24"/>
        </w:rPr>
        <w:t xml:space="preserve"> de otras tantas formas</w:t>
      </w:r>
      <w:r w:rsidR="008860C1" w:rsidRPr="00DC5167">
        <w:rPr>
          <w:rFonts w:ascii="Arial" w:hAnsi="Arial" w:cs="Arial"/>
          <w:sz w:val="24"/>
          <w:szCs w:val="24"/>
        </w:rPr>
        <w:t xml:space="preserve"> de violencia</w:t>
      </w:r>
      <w:r w:rsidR="00E8108A" w:rsidRPr="00DC5167">
        <w:rPr>
          <w:rFonts w:ascii="Arial" w:hAnsi="Arial" w:cs="Arial"/>
          <w:sz w:val="24"/>
          <w:szCs w:val="24"/>
        </w:rPr>
        <w:t>.</w:t>
      </w:r>
    </w:p>
    <w:p w14:paraId="3CEA4789" w14:textId="23E1F255" w:rsidR="00C71993" w:rsidRPr="00DC5167" w:rsidRDefault="0032547C" w:rsidP="00DC5167">
      <w:pPr>
        <w:rPr>
          <w:rFonts w:ascii="Arial" w:hAnsi="Arial" w:cs="Arial"/>
          <w:sz w:val="24"/>
          <w:szCs w:val="24"/>
        </w:rPr>
      </w:pPr>
      <w:r w:rsidRPr="00DC5167">
        <w:rPr>
          <w:rFonts w:ascii="Arial" w:hAnsi="Arial" w:cs="Arial"/>
          <w:sz w:val="24"/>
          <w:szCs w:val="24"/>
        </w:rPr>
        <w:t xml:space="preserve">La impunidad institucional junto a la insuficiencia de recursos asignados nos hace reflexionar </w:t>
      </w:r>
      <w:r w:rsidR="00DC5167">
        <w:rPr>
          <w:rFonts w:ascii="Arial" w:hAnsi="Arial" w:cs="Arial"/>
          <w:sz w:val="24"/>
          <w:szCs w:val="24"/>
        </w:rPr>
        <w:t>sobre de</w:t>
      </w:r>
      <w:r w:rsidRPr="00DC5167">
        <w:rPr>
          <w:rFonts w:ascii="Arial" w:hAnsi="Arial" w:cs="Arial"/>
          <w:sz w:val="24"/>
          <w:szCs w:val="24"/>
        </w:rPr>
        <w:t xml:space="preserve"> </w:t>
      </w:r>
      <w:r w:rsidR="00DC5167" w:rsidRPr="00DC5167">
        <w:rPr>
          <w:rFonts w:ascii="Arial" w:hAnsi="Arial" w:cs="Arial"/>
          <w:sz w:val="24"/>
          <w:szCs w:val="24"/>
        </w:rPr>
        <w:t>qué</w:t>
      </w:r>
      <w:r w:rsidRPr="00DC5167">
        <w:rPr>
          <w:rFonts w:ascii="Arial" w:hAnsi="Arial" w:cs="Arial"/>
          <w:sz w:val="24"/>
          <w:szCs w:val="24"/>
        </w:rPr>
        <w:t xml:space="preserve"> manera</w:t>
      </w:r>
      <w:r w:rsidR="00DC5167" w:rsidRPr="00DC5167">
        <w:rPr>
          <w:rFonts w:ascii="Arial" w:hAnsi="Arial" w:cs="Arial"/>
          <w:sz w:val="24"/>
          <w:szCs w:val="24"/>
        </w:rPr>
        <w:t xml:space="preserve"> actúan</w:t>
      </w:r>
      <w:r w:rsidR="00DC5167">
        <w:rPr>
          <w:rFonts w:ascii="Arial" w:hAnsi="Arial" w:cs="Arial"/>
          <w:sz w:val="24"/>
          <w:szCs w:val="24"/>
        </w:rPr>
        <w:t xml:space="preserve">, </w:t>
      </w:r>
      <w:r w:rsidR="00DC5167" w:rsidRPr="00DC5167">
        <w:rPr>
          <w:rFonts w:ascii="Arial" w:hAnsi="Arial" w:cs="Arial"/>
          <w:sz w:val="24"/>
          <w:szCs w:val="24"/>
        </w:rPr>
        <w:t xml:space="preserve">sin datos que permitan dar resultados favorables basados en </w:t>
      </w:r>
      <w:r w:rsidR="00201B06" w:rsidRPr="00DC5167">
        <w:rPr>
          <w:rFonts w:ascii="Arial" w:hAnsi="Arial" w:cs="Arial"/>
          <w:sz w:val="24"/>
          <w:szCs w:val="24"/>
        </w:rPr>
        <w:t>evidencia.</w:t>
      </w:r>
    </w:p>
    <w:sectPr w:rsidR="00C71993" w:rsidRPr="00DC51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1A"/>
    <w:rsid w:val="00201B06"/>
    <w:rsid w:val="0032547C"/>
    <w:rsid w:val="00446E1A"/>
    <w:rsid w:val="004E0C65"/>
    <w:rsid w:val="00776F9B"/>
    <w:rsid w:val="00812C99"/>
    <w:rsid w:val="00884ECD"/>
    <w:rsid w:val="008860C1"/>
    <w:rsid w:val="008F44A6"/>
    <w:rsid w:val="00C71993"/>
    <w:rsid w:val="00DA0CBF"/>
    <w:rsid w:val="00DC5167"/>
    <w:rsid w:val="00E8108A"/>
    <w:rsid w:val="00F3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90DB"/>
  <w15:chartTrackingRefBased/>
  <w15:docId w15:val="{E8DBB945-3A6F-4FED-917C-3BC0BF68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PATRICIA AROS NAVIA</dc:creator>
  <cp:keywords/>
  <dc:description/>
  <cp:lastModifiedBy>JESSICA PATRICIA AROS NAVIA</cp:lastModifiedBy>
  <cp:revision>2</cp:revision>
  <dcterms:created xsi:type="dcterms:W3CDTF">2022-06-12T16:49:00Z</dcterms:created>
  <dcterms:modified xsi:type="dcterms:W3CDTF">2022-06-12T18:24:00Z</dcterms:modified>
</cp:coreProperties>
</file>